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uppressAutoHyphens/>
        <w:spacing w:after="0" w:line="360" w:lineRule="auto"/>
        <w:ind w:firstLine="567"/>
        <w:jc w:val="both"/>
        <w:rPr>
          <w:rFonts w:ascii="Times New Roman" w:hAnsi="Times New Roman"/>
          <w:caps/>
          <w:sz w:val="28"/>
          <w:szCs w:val="28"/>
        </w:rPr>
      </w:pPr>
      <w:r>
        <w:rPr>
          <w:rFonts w:ascii="Times New Roman" w:hAnsi="Times New Roman"/>
          <w:sz w:val="28"/>
          <w:szCs w:val="28"/>
        </w:rPr>
        <w:t>А. Н. Лодягин, А. Г. Синенченко, Б. В. Батоцыренов, Г. И. Синенченко</w:t>
      </w:r>
    </w:p>
    <w:p>
      <w:pPr>
        <w:tabs>
          <w:tab w:val="left" w:pos="6096"/>
        </w:tabs>
        <w:suppressAutoHyphen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ВЛИЯНИЕ ГИПЕРАММОНИЕМИИ НА ТЕЧЕНИЕ ДЕЛИРИОЗНОГО СИНДРОМА ПРИ ОСТРЫХ ТЯЖЕЛЫХ ОТРАВЛЕНИЯХ 1,4-БУТАНДИОЛОМ И СПОСОБЫ ЕЕ КОРРЕКЦИИ</w:t>
      </w:r>
    </w:p>
    <w:p>
      <w:pPr>
        <w:widowControl w:val="0"/>
        <w:suppressAutoHyphens/>
        <w:spacing w:after="0" w:line="360" w:lineRule="auto"/>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rPr>
        <w:t>Санкт-Петербургский научно-исследовательский институт скорой помощи имени И. И. Джанелидзе, Санкт-Петербург, Россия</w:t>
      </w:r>
    </w:p>
    <w:p>
      <w:pPr>
        <w:widowControl w:val="0"/>
        <w:suppressAutoHyphens/>
        <w:spacing w:after="0" w:line="360" w:lineRule="auto"/>
        <w:ind w:firstLine="567"/>
        <w:jc w:val="both"/>
        <w:rPr>
          <w:rFonts w:ascii="Times New Roman" w:hAnsi="Times New Roman" w:cs="Times New Roman"/>
          <w:b/>
          <w:color w:val="000000" w:themeColor="text1"/>
          <w:sz w:val="28"/>
          <w:szCs w:val="28"/>
          <w:lang w:val="en-US"/>
        </w:rPr>
      </w:pPr>
      <w:r>
        <w:rPr>
          <w:rFonts w:ascii="Times New Roman" w:hAnsi="Times New Roman" w:cs="Times New Roman"/>
          <w:bCs/>
          <w:sz w:val="28"/>
          <w:szCs w:val="28"/>
        </w:rPr>
        <w:t>А</w:t>
      </w:r>
      <w:r>
        <w:rPr>
          <w:rFonts w:ascii="Times New Roman" w:hAnsi="Times New Roman" w:cs="Times New Roman"/>
          <w:bCs/>
          <w:sz w:val="28"/>
          <w:szCs w:val="28"/>
          <w:lang w:val="en-US"/>
        </w:rPr>
        <w:t xml:space="preserve">. G.  Sinenchenko, A. N. Lodyagin, B.V. Batotsyrenov, </w:t>
      </w:r>
      <w:r>
        <w:rPr>
          <w:rFonts w:ascii="Times New Roman" w:hAnsi="Times New Roman"/>
          <w:color w:val="222222"/>
          <w:sz w:val="28"/>
          <w:szCs w:val="28"/>
          <w:lang w:val="en-US"/>
        </w:rPr>
        <w:t>G. I. Sinenchenko</w:t>
      </w:r>
    </w:p>
    <w:p>
      <w:pPr>
        <w:tabs>
          <w:tab w:val="left" w:pos="6096"/>
        </w:tabs>
        <w:suppressAutoHyphens/>
        <w:spacing w:after="0" w:line="360" w:lineRule="auto"/>
        <w:ind w:firstLine="567"/>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EFFECT OF HYPERAMMONIEMIA ON THE COURSE OF DELIRIOUS SYNDROME IN ACUTE SEVERE POISONING WITH 1,4-BUTANDIOL AND METHODS OF ITS CORRECTION</w:t>
      </w:r>
    </w:p>
    <w:p>
      <w:pPr>
        <w:widowControl w:val="0"/>
        <w:suppressAutoHyphens/>
        <w:spacing w:after="0" w:line="360" w:lineRule="auto"/>
        <w:ind w:firstLine="567"/>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St. Petersburg I.I. Dzhanelidze Research Institute of Emergency Medicine, 192242, St. Petersburg, Russian Federation.</w:t>
      </w:r>
    </w:p>
    <w:p>
      <w:pPr>
        <w:widowControl w:val="0"/>
        <w:suppressAutoHyphens/>
        <w:spacing w:after="0" w:line="360" w:lineRule="auto"/>
        <w:ind w:firstLine="567"/>
        <w:jc w:val="both"/>
        <w:rPr>
          <w:rFonts w:ascii="Times New Roman" w:hAnsi="Times New Roman"/>
          <w:sz w:val="28"/>
          <w:szCs w:val="28"/>
        </w:rPr>
      </w:pPr>
      <w:r>
        <w:rPr>
          <w:rFonts w:ascii="Times New Roman" w:hAnsi="Times New Roman"/>
          <w:color w:val="000000"/>
          <w:sz w:val="28"/>
          <w:szCs w:val="28"/>
          <w:lang w:eastAsia="ru-RU"/>
        </w:rPr>
        <w:t>Лодягин Алексей Николаевич (Lodyagin Alekse</w:t>
      </w:r>
      <w:r>
        <w:rPr>
          <w:rFonts w:ascii="Times New Roman" w:hAnsi="Times New Roman"/>
          <w:color w:val="000000"/>
          <w:sz w:val="28"/>
          <w:szCs w:val="28"/>
          <w:lang w:val="en-US" w:eastAsia="ru-RU"/>
        </w:rPr>
        <w:t>i</w:t>
      </w:r>
      <w:r>
        <w:rPr>
          <w:rFonts w:ascii="Times New Roman" w:hAnsi="Times New Roman"/>
          <w:color w:val="000000"/>
          <w:sz w:val="28"/>
          <w:szCs w:val="28"/>
          <w:lang w:eastAsia="ru-RU"/>
        </w:rPr>
        <w:t xml:space="preserve"> Nikolaevich), доктор медицинских наук, профессор, руководитель отдела клинической токсикологии ГБУ СПб НИИ скорой помощи им. И.И. Джанелидзе, </w:t>
      </w:r>
      <w:r>
        <w:rPr>
          <w:rFonts w:ascii="Times New Roman" w:hAnsi="Times New Roman"/>
          <w:bCs/>
          <w:color w:val="000000"/>
          <w:sz w:val="28"/>
          <w:szCs w:val="28"/>
          <w:lang w:eastAsia="ru-RU"/>
        </w:rPr>
        <w:t>192242,</w:t>
      </w:r>
      <w:r>
        <w:rPr>
          <w:rFonts w:ascii="Times New Roman" w:hAnsi="Times New Roman"/>
          <w:b/>
          <w:bCs/>
          <w:color w:val="000000"/>
          <w:sz w:val="28"/>
          <w:szCs w:val="28"/>
          <w:lang w:eastAsia="ru-RU"/>
        </w:rPr>
        <w:t xml:space="preserve"> </w:t>
      </w:r>
      <w:r>
        <w:rPr>
          <w:rFonts w:ascii="Times New Roman" w:hAnsi="Times New Roman"/>
          <w:color w:val="000000"/>
          <w:sz w:val="28"/>
          <w:szCs w:val="28"/>
          <w:lang w:eastAsia="ru-RU"/>
        </w:rPr>
        <w:t>Санкт-Петербург.</w:t>
      </w:r>
      <w:r>
        <w:rPr>
          <w:rFonts w:ascii="Times New Roman" w:hAnsi="Times New Roman"/>
          <w:sz w:val="28"/>
          <w:szCs w:val="28"/>
        </w:rPr>
        <w:t xml:space="preserve"> </w:t>
      </w:r>
      <w:hyperlink r:id="rId8" w:history="1">
        <w:r>
          <w:rPr>
            <w:rStyle w:val="ad"/>
            <w:rFonts w:ascii="Times New Roman" w:hAnsi="Times New Roman"/>
            <w:sz w:val="28"/>
            <w:szCs w:val="28"/>
            <w:shd w:val="clear" w:color="auto" w:fill="F9F9F9"/>
            <w:lang w:val="en-US"/>
          </w:rPr>
          <w:t>https</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orcid</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org</w:t>
        </w:r>
        <w:r>
          <w:rPr>
            <w:rStyle w:val="ad"/>
            <w:rFonts w:ascii="Times New Roman" w:hAnsi="Times New Roman"/>
            <w:sz w:val="28"/>
            <w:szCs w:val="28"/>
            <w:shd w:val="clear" w:color="auto" w:fill="F9F9F9"/>
          </w:rPr>
          <w:t>/</w:t>
        </w:r>
        <w:r>
          <w:rPr>
            <w:rStyle w:val="ad"/>
            <w:rFonts w:ascii="Times New Roman" w:hAnsi="Times New Roman"/>
            <w:sz w:val="28"/>
            <w:szCs w:val="28"/>
          </w:rPr>
          <w:t>0000-0002-8672-2906</w:t>
        </w:r>
        <w:r>
          <w:rPr>
            <w:rStyle w:val="ad"/>
            <w:sz w:val="28"/>
            <w:szCs w:val="28"/>
          </w:rPr>
          <w:t xml:space="preserve">  </w:t>
        </w:r>
        <w:r>
          <w:rPr>
            <w:rStyle w:val="ad"/>
            <w:rFonts w:ascii="Times New Roman" w:hAnsi="Times New Roman"/>
            <w:sz w:val="28"/>
            <w:szCs w:val="28"/>
            <w:lang w:val="en-US"/>
          </w:rPr>
          <w:t>ID</w:t>
        </w:r>
        <w:r>
          <w:rPr>
            <w:rStyle w:val="ad"/>
            <w:rFonts w:ascii="Times New Roman" w:hAnsi="Times New Roman"/>
            <w:sz w:val="28"/>
            <w:szCs w:val="28"/>
          </w:rPr>
          <w:t>6507598514</w:t>
        </w:r>
      </w:hyperlink>
    </w:p>
    <w:p>
      <w:pPr>
        <w:widowControl w:val="0"/>
        <w:suppressAutoHyphens/>
        <w:spacing w:after="0" w:line="360" w:lineRule="auto"/>
        <w:ind w:firstLine="567"/>
        <w:jc w:val="both"/>
        <w:rPr>
          <w:rFonts w:ascii="Times New Roman" w:hAnsi="Times New Roman"/>
          <w:sz w:val="28"/>
          <w:szCs w:val="28"/>
        </w:rPr>
      </w:pPr>
      <w:r>
        <w:rPr>
          <w:rFonts w:ascii="Times New Roman" w:hAnsi="Times New Roman"/>
          <w:color w:val="000000"/>
          <w:sz w:val="28"/>
          <w:szCs w:val="28"/>
          <w:lang w:eastAsia="ru-RU"/>
        </w:rPr>
        <w:t>Синенченко Андрей Георгиевич (</w:t>
      </w:r>
      <w:r>
        <w:rPr>
          <w:rFonts w:ascii="Times New Roman" w:hAnsi="Times New Roman"/>
          <w:color w:val="000000"/>
          <w:sz w:val="28"/>
          <w:szCs w:val="28"/>
          <w:lang w:val="en-US" w:eastAsia="ru-RU"/>
        </w:rPr>
        <w:t>Sinenchenko</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Andrej</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Georgievich</w:t>
      </w:r>
      <w:r>
        <w:rPr>
          <w:rFonts w:ascii="Times New Roman" w:hAnsi="Times New Roman"/>
          <w:color w:val="000000"/>
          <w:sz w:val="28"/>
          <w:szCs w:val="28"/>
          <w:lang w:eastAsia="ru-RU"/>
        </w:rPr>
        <w:t xml:space="preserve">), кандидат медицинских наук, руководитель отдела неотложной психиатрии, наркологии и психореабилитации ГБУ СПб НИИ скорой помощи им. И.И. Джанелидзе, </w:t>
      </w:r>
      <w:r>
        <w:rPr>
          <w:rFonts w:ascii="Times New Roman" w:hAnsi="Times New Roman"/>
          <w:bCs/>
          <w:color w:val="000000"/>
          <w:sz w:val="28"/>
          <w:szCs w:val="28"/>
          <w:lang w:eastAsia="ru-RU"/>
        </w:rPr>
        <w:t>192242,</w:t>
      </w:r>
      <w:r>
        <w:rPr>
          <w:rFonts w:ascii="Times New Roman" w:hAnsi="Times New Roman"/>
          <w:b/>
          <w:bCs/>
          <w:color w:val="000000"/>
          <w:sz w:val="28"/>
          <w:szCs w:val="28"/>
          <w:lang w:eastAsia="ru-RU"/>
        </w:rPr>
        <w:t xml:space="preserve"> </w:t>
      </w:r>
      <w:r>
        <w:rPr>
          <w:rFonts w:ascii="Times New Roman" w:hAnsi="Times New Roman"/>
          <w:color w:val="000000"/>
          <w:sz w:val="28"/>
          <w:szCs w:val="28"/>
          <w:lang w:eastAsia="ru-RU"/>
        </w:rPr>
        <w:t xml:space="preserve">Санкт-Петербург, </w:t>
      </w:r>
      <w:hyperlink r:id="rId9" w:history="1">
        <w:r>
          <w:rPr>
            <w:rStyle w:val="ad"/>
            <w:rFonts w:ascii="Times New Roman" w:hAnsi="Times New Roman"/>
            <w:sz w:val="28"/>
            <w:szCs w:val="28"/>
            <w:lang w:val="en-US" w:eastAsia="ru-RU"/>
          </w:rPr>
          <w:t>andreysin</w:t>
        </w:r>
        <w:r>
          <w:rPr>
            <w:rStyle w:val="ad"/>
            <w:rFonts w:ascii="Times New Roman" w:hAnsi="Times New Roman"/>
            <w:sz w:val="28"/>
            <w:szCs w:val="28"/>
            <w:lang w:eastAsia="ru-RU"/>
          </w:rPr>
          <w:t>2013@</w:t>
        </w:r>
        <w:r>
          <w:rPr>
            <w:rStyle w:val="ad"/>
            <w:rFonts w:ascii="Times New Roman" w:hAnsi="Times New Roman"/>
            <w:sz w:val="28"/>
            <w:szCs w:val="28"/>
            <w:lang w:val="en-US" w:eastAsia="ru-RU"/>
          </w:rPr>
          <w:t>yandex</w:t>
        </w:r>
        <w:r>
          <w:rPr>
            <w:rStyle w:val="ad"/>
            <w:rFonts w:ascii="Times New Roman" w:hAnsi="Times New Roman"/>
            <w:sz w:val="28"/>
            <w:szCs w:val="28"/>
            <w:lang w:eastAsia="ru-RU"/>
          </w:rPr>
          <w:t>.</w:t>
        </w:r>
        <w:r>
          <w:rPr>
            <w:rStyle w:val="ad"/>
            <w:rFonts w:ascii="Times New Roman" w:hAnsi="Times New Roman"/>
            <w:sz w:val="28"/>
            <w:szCs w:val="28"/>
            <w:lang w:val="en-US" w:eastAsia="ru-RU"/>
          </w:rPr>
          <w:t>ru</w:t>
        </w:r>
      </w:hyperlink>
      <w:r>
        <w:rPr>
          <w:rFonts w:ascii="Times New Roman" w:hAnsi="Times New Roman"/>
          <w:color w:val="000000"/>
          <w:sz w:val="28"/>
          <w:szCs w:val="28"/>
          <w:lang w:eastAsia="ru-RU"/>
        </w:rPr>
        <w:t xml:space="preserve">. </w:t>
      </w:r>
      <w:hyperlink r:id="rId10" w:history="1">
        <w:r>
          <w:rPr>
            <w:rStyle w:val="ad"/>
            <w:rFonts w:ascii="Times New Roman" w:hAnsi="Times New Roman"/>
            <w:sz w:val="28"/>
            <w:szCs w:val="28"/>
            <w:shd w:val="clear" w:color="auto" w:fill="F9F9F9"/>
            <w:lang w:val="en-US"/>
          </w:rPr>
          <w:t>https</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orcid</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org</w:t>
        </w:r>
        <w:r>
          <w:rPr>
            <w:rStyle w:val="ad"/>
            <w:rFonts w:ascii="Times New Roman" w:hAnsi="Times New Roman"/>
            <w:sz w:val="28"/>
            <w:szCs w:val="28"/>
            <w:shd w:val="clear" w:color="auto" w:fill="F9F9F9"/>
          </w:rPr>
          <w:t>/</w:t>
        </w:r>
        <w:r>
          <w:rPr>
            <w:rStyle w:val="ad"/>
            <w:rFonts w:ascii="Times New Roman" w:hAnsi="Times New Roman"/>
            <w:sz w:val="28"/>
            <w:szCs w:val="28"/>
          </w:rPr>
          <w:t xml:space="preserve">0000-0003-2815-3108 </w:t>
        </w:r>
        <w:r>
          <w:rPr>
            <w:rStyle w:val="ad"/>
            <w:rFonts w:ascii="Times New Roman" w:hAnsi="Times New Roman"/>
            <w:sz w:val="28"/>
            <w:szCs w:val="28"/>
            <w:lang w:val="en-US"/>
          </w:rPr>
          <w:t>ID</w:t>
        </w:r>
        <w:r>
          <w:rPr>
            <w:rStyle w:val="ad"/>
            <w:rFonts w:ascii="Times New Roman" w:hAnsi="Times New Roman"/>
            <w:sz w:val="28"/>
            <w:szCs w:val="28"/>
          </w:rPr>
          <w:t>57215990021</w:t>
        </w:r>
      </w:hyperlink>
    </w:p>
    <w:p>
      <w:pPr>
        <w:widowControl w:val="0"/>
        <w:tabs>
          <w:tab w:val="left" w:pos="5430"/>
        </w:tabs>
        <w:suppressAutoHyphens/>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Батоцыренов Баир Васильевич (Batocyrenov Bair Vasil'evich), доктор медицинских наук, доцент, главный научный сотрудник отдела клинической токсикологии ГБУ СПб НИИ скорой помощи им. И.И. Джанелидзе, </w:t>
      </w:r>
      <w:r>
        <w:rPr>
          <w:rFonts w:ascii="Times New Roman" w:hAnsi="Times New Roman"/>
          <w:bCs/>
          <w:color w:val="000000"/>
          <w:sz w:val="28"/>
          <w:szCs w:val="28"/>
          <w:lang w:eastAsia="ru-RU"/>
        </w:rPr>
        <w:t>192242,</w:t>
      </w:r>
      <w:r>
        <w:rPr>
          <w:rFonts w:ascii="Times New Roman" w:hAnsi="Times New Roman"/>
          <w:b/>
          <w:bCs/>
          <w:color w:val="000000"/>
          <w:sz w:val="28"/>
          <w:szCs w:val="28"/>
          <w:lang w:eastAsia="ru-RU"/>
        </w:rPr>
        <w:t xml:space="preserve"> </w:t>
      </w:r>
      <w:r>
        <w:rPr>
          <w:rFonts w:ascii="Times New Roman" w:hAnsi="Times New Roman"/>
          <w:color w:val="000000"/>
          <w:sz w:val="28"/>
          <w:szCs w:val="28"/>
          <w:lang w:eastAsia="ru-RU"/>
        </w:rPr>
        <w:t xml:space="preserve">Санкт-Петербург. </w:t>
      </w:r>
      <w:hyperlink r:id="rId11" w:history="1">
        <w:r>
          <w:rPr>
            <w:rStyle w:val="ad"/>
            <w:rFonts w:ascii="Times New Roman" w:hAnsi="Times New Roman"/>
            <w:sz w:val="28"/>
            <w:szCs w:val="28"/>
            <w:shd w:val="clear" w:color="auto" w:fill="F9F9F9"/>
            <w:lang w:val="en-US"/>
          </w:rPr>
          <w:t>https</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orcid</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org</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FFFFF"/>
          </w:rPr>
          <w:t>0000-0003-4954-8977</w:t>
        </w:r>
      </w:hyperlink>
    </w:p>
    <w:p>
      <w:pPr>
        <w:widowControl w:val="0"/>
        <w:tabs>
          <w:tab w:val="left" w:pos="5430"/>
        </w:tabs>
        <w:suppressAutoHyphens/>
        <w:autoSpaceDE w:val="0"/>
        <w:autoSpaceDN w:val="0"/>
        <w:adjustRightInd w:val="0"/>
        <w:spacing w:after="0" w:line="360" w:lineRule="auto"/>
        <w:ind w:firstLine="567"/>
        <w:jc w:val="both"/>
        <w:rPr>
          <w:rFonts w:ascii="Times New Roman" w:hAnsi="Times New Roman"/>
          <w:color w:val="000000"/>
          <w:sz w:val="28"/>
          <w:szCs w:val="28"/>
          <w:u w:val="single"/>
        </w:rPr>
      </w:pPr>
      <w:r>
        <w:rPr>
          <w:rFonts w:ascii="Times New Roman" w:hAnsi="Times New Roman"/>
          <w:color w:val="000000"/>
          <w:sz w:val="28"/>
          <w:szCs w:val="28"/>
          <w:lang w:eastAsia="ru-RU"/>
        </w:rPr>
        <w:t>Синенченко Георгий Иванович (</w:t>
      </w:r>
      <w:r>
        <w:rPr>
          <w:rFonts w:ascii="Times New Roman" w:hAnsi="Times New Roman"/>
          <w:color w:val="222222"/>
          <w:sz w:val="28"/>
          <w:szCs w:val="28"/>
        </w:rPr>
        <w:t>Sinenchenko</w:t>
      </w:r>
      <w:r>
        <w:rPr>
          <w:sz w:val="28"/>
          <w:szCs w:val="28"/>
        </w:rPr>
        <w:t xml:space="preserve"> </w:t>
      </w:r>
      <w:r>
        <w:rPr>
          <w:rFonts w:ascii="Times New Roman" w:hAnsi="Times New Roman"/>
          <w:color w:val="222222"/>
          <w:sz w:val="28"/>
          <w:szCs w:val="28"/>
        </w:rPr>
        <w:t>Georgy Ivanovich</w:t>
      </w:r>
      <w:r>
        <w:rPr>
          <w:rFonts w:ascii="Times New Roman" w:hAnsi="Times New Roman"/>
          <w:color w:val="000000"/>
          <w:sz w:val="28"/>
          <w:szCs w:val="28"/>
          <w:lang w:eastAsia="ru-RU"/>
        </w:rPr>
        <w:t xml:space="preserve">), Заслуженный врач РФ, доктор медицинских наук, профессор, преподаватель ГБУ СПб НИИ скорой помощи им. И.И. Джанелидзе, </w:t>
      </w:r>
      <w:r>
        <w:rPr>
          <w:rFonts w:ascii="Times New Roman" w:hAnsi="Times New Roman"/>
          <w:bCs/>
          <w:color w:val="000000"/>
          <w:sz w:val="28"/>
          <w:szCs w:val="28"/>
          <w:lang w:eastAsia="ru-RU"/>
        </w:rPr>
        <w:t>192242,</w:t>
      </w:r>
      <w:r>
        <w:rPr>
          <w:rFonts w:ascii="Times New Roman" w:hAnsi="Times New Roman"/>
          <w:b/>
          <w:bCs/>
          <w:color w:val="000000"/>
          <w:sz w:val="28"/>
          <w:szCs w:val="28"/>
          <w:lang w:eastAsia="ru-RU"/>
        </w:rPr>
        <w:t xml:space="preserve"> </w:t>
      </w:r>
      <w:r>
        <w:rPr>
          <w:rFonts w:ascii="Times New Roman" w:hAnsi="Times New Roman"/>
          <w:color w:val="000000"/>
          <w:sz w:val="28"/>
          <w:szCs w:val="28"/>
          <w:lang w:eastAsia="ru-RU"/>
        </w:rPr>
        <w:t xml:space="preserve">Санкт-Петербург. </w:t>
      </w:r>
      <w:hyperlink r:id="rId12" w:history="1">
        <w:r>
          <w:rPr>
            <w:rStyle w:val="ad"/>
            <w:rFonts w:ascii="Times New Roman" w:hAnsi="Times New Roman"/>
            <w:sz w:val="28"/>
            <w:szCs w:val="28"/>
            <w:shd w:val="clear" w:color="auto" w:fill="F9F9F9"/>
            <w:lang w:val="en-US"/>
          </w:rPr>
          <w:t>https</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orcid</w:t>
        </w:r>
        <w:r>
          <w:rPr>
            <w:rStyle w:val="ad"/>
            <w:rFonts w:ascii="Times New Roman" w:hAnsi="Times New Roman"/>
            <w:sz w:val="28"/>
            <w:szCs w:val="28"/>
            <w:shd w:val="clear" w:color="auto" w:fill="F9F9F9"/>
          </w:rPr>
          <w:t>.</w:t>
        </w:r>
        <w:r>
          <w:rPr>
            <w:rStyle w:val="ad"/>
            <w:rFonts w:ascii="Times New Roman" w:hAnsi="Times New Roman"/>
            <w:sz w:val="28"/>
            <w:szCs w:val="28"/>
            <w:shd w:val="clear" w:color="auto" w:fill="F9F9F9"/>
            <w:lang w:val="en-US"/>
          </w:rPr>
          <w:t>org</w:t>
        </w:r>
        <w:r>
          <w:rPr>
            <w:rStyle w:val="ad"/>
            <w:rFonts w:ascii="Times New Roman" w:hAnsi="Times New Roman"/>
            <w:sz w:val="28"/>
            <w:szCs w:val="28"/>
            <w:shd w:val="clear" w:color="auto" w:fill="F9F9F9"/>
          </w:rPr>
          <w:t>/</w:t>
        </w:r>
        <w:r>
          <w:rPr>
            <w:rStyle w:val="ad"/>
            <w:rFonts w:ascii="Times New Roman" w:hAnsi="Times New Roman"/>
            <w:sz w:val="28"/>
            <w:szCs w:val="28"/>
          </w:rPr>
          <w:t>0000-0001-5659-781Х</w:t>
        </w:r>
      </w:hyperlink>
    </w:p>
    <w:p>
      <w:pPr>
        <w:widowControl w:val="0"/>
        <w:tabs>
          <w:tab w:val="left" w:pos="567"/>
          <w:tab w:val="left" w:pos="5430"/>
        </w:tabs>
        <w:suppressAutoHyphens/>
        <w:autoSpaceDE w:val="0"/>
        <w:autoSpaceDN w:val="0"/>
        <w:adjustRightInd w:val="0"/>
        <w:spacing w:after="0" w:line="360" w:lineRule="auto"/>
        <w:jc w:val="both"/>
        <w:rPr>
          <w:rFonts w:ascii="Times New Roman" w:hAnsi="Times New Roman" w:cs="Times New Roman"/>
          <w:b/>
          <w:color w:val="000000" w:themeColor="text1"/>
          <w:sz w:val="28"/>
          <w:szCs w:val="28"/>
        </w:rPr>
      </w:pP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b/>
          <w:bCs/>
          <w:color w:val="000000"/>
          <w:sz w:val="28"/>
          <w:szCs w:val="28"/>
          <w:lang w:eastAsia="ru-RU"/>
        </w:rPr>
        <w:lastRenderedPageBreak/>
        <w:t>Введение.</w:t>
      </w:r>
      <w:r>
        <w:rPr>
          <w:rFonts w:ascii="Times New Roman" w:hAnsi="Times New Roman"/>
          <w:color w:val="000000"/>
          <w:sz w:val="28"/>
          <w:szCs w:val="28"/>
          <w:lang w:eastAsia="ru-RU"/>
        </w:rPr>
        <w:t xml:space="preserve"> В статье представлена оценка влияния гипераммониемии на течение делириозного синдрома при острых тяжелых отравлениях 1,4-бутандиолом и способы ее коррекции. </w:t>
      </w:r>
      <w:r>
        <w:rPr>
          <w:rFonts w:ascii="Times New Roman" w:hAnsi="Times New Roman"/>
          <w:b/>
          <w:bCs/>
          <w:color w:val="000000"/>
          <w:sz w:val="28"/>
          <w:szCs w:val="28"/>
          <w:lang w:eastAsia="ru-RU"/>
        </w:rPr>
        <w:t>Цель исследования</w:t>
      </w:r>
      <w:r>
        <w:rPr>
          <w:rFonts w:ascii="Times New Roman" w:hAnsi="Times New Roman"/>
          <w:color w:val="000000"/>
          <w:sz w:val="28"/>
          <w:szCs w:val="28"/>
          <w:lang w:eastAsia="ru-RU"/>
        </w:rPr>
        <w:t xml:space="preserve">: </w:t>
      </w:r>
      <w:r>
        <w:rPr>
          <w:rFonts w:ascii="Times New Roman" w:hAnsi="Times New Roman" w:cs="Times New Roman"/>
          <w:color w:val="000000" w:themeColor="text1"/>
          <w:sz w:val="28"/>
          <w:szCs w:val="28"/>
        </w:rPr>
        <w:t xml:space="preserve">провести анализ влияния свободного аммиака на выраженность делирия </w:t>
      </w:r>
      <w:r>
        <w:rPr>
          <w:rFonts w:ascii="Times New Roman" w:hAnsi="Times New Roman"/>
          <w:color w:val="000000"/>
          <w:sz w:val="28"/>
          <w:szCs w:val="28"/>
          <w:lang w:eastAsia="ru-RU"/>
        </w:rPr>
        <w:t>при острых тяжелых отравлениях 1,4-бутандиолом</w:t>
      </w:r>
      <w:r>
        <w:rPr>
          <w:rFonts w:ascii="Times New Roman" w:hAnsi="Times New Roman" w:cs="Times New Roman"/>
          <w:color w:val="000000" w:themeColor="text1"/>
          <w:sz w:val="28"/>
          <w:szCs w:val="28"/>
        </w:rPr>
        <w:t xml:space="preserve"> и разработать методы коррекции гипераммониемии.</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b/>
          <w:color w:val="000000"/>
          <w:sz w:val="28"/>
          <w:szCs w:val="28"/>
          <w:lang w:eastAsia="ru-RU"/>
        </w:rPr>
        <w:t>Материалы и методы</w:t>
      </w:r>
      <w:r>
        <w:rPr>
          <w:rFonts w:ascii="Times New Roman" w:hAnsi="Times New Roman"/>
          <w:b/>
          <w:bCs/>
          <w:i/>
          <w:iCs/>
          <w:color w:val="000000"/>
          <w:sz w:val="28"/>
          <w:szCs w:val="28"/>
          <w:lang w:eastAsia="ru-RU"/>
        </w:rPr>
        <w:t xml:space="preserve">. </w:t>
      </w:r>
      <w:r>
        <w:rPr>
          <w:rFonts w:ascii="Times New Roman" w:hAnsi="Times New Roman"/>
          <w:bCs/>
          <w:iCs/>
          <w:color w:val="000000"/>
          <w:sz w:val="28"/>
          <w:szCs w:val="28"/>
          <w:lang w:eastAsia="ru-RU"/>
        </w:rPr>
        <w:t xml:space="preserve">В ходе работы </w:t>
      </w:r>
      <w:r>
        <w:rPr>
          <w:rFonts w:ascii="Times New Roman" w:hAnsi="Times New Roman" w:cs="Times New Roman"/>
          <w:sz w:val="28"/>
          <w:szCs w:val="28"/>
        </w:rPr>
        <w:t>проведено проспективное обследование 59 пациентов мужского пола в возрасте от 20 до 45 лет (средний возраст составил – 29,2 ± 4,47 лет) отделения реанимации и интенсивной терапии ц</w:t>
      </w:r>
      <w:r>
        <w:rPr>
          <w:rFonts w:ascii="Times New Roman" w:hAnsi="Times New Roman"/>
          <w:color w:val="000000"/>
          <w:sz w:val="28"/>
          <w:szCs w:val="28"/>
          <w:lang w:eastAsia="ru-RU"/>
        </w:rPr>
        <w:t>ентра лечения острых отравлений ГБУ СПб НИИ СП им. И.И. Джанелидзе</w:t>
      </w:r>
      <w:r>
        <w:rPr>
          <w:rFonts w:ascii="Times New Roman" w:hAnsi="Times New Roman" w:cs="Times New Roman"/>
          <w:sz w:val="28"/>
          <w:szCs w:val="28"/>
        </w:rPr>
        <w:t xml:space="preserve"> с </w:t>
      </w:r>
      <w:r>
        <w:rPr>
          <w:rFonts w:ascii="Times New Roman" w:hAnsi="Times New Roman"/>
          <w:color w:val="000000"/>
          <w:sz w:val="28"/>
          <w:szCs w:val="28"/>
          <w:lang w:eastAsia="ru-RU"/>
        </w:rPr>
        <w:t>острыми тяжелыми отравлениями 1,4-бутандиолом</w:t>
      </w:r>
      <w:r>
        <w:rPr>
          <w:rFonts w:ascii="Times New Roman" w:hAnsi="Times New Roman" w:cs="Times New Roman"/>
          <w:sz w:val="28"/>
          <w:szCs w:val="28"/>
        </w:rPr>
        <w:t xml:space="preserve">, осложненные делириозным синдромом. Статистическую обработку полученных результатов осуществляли в программе </w:t>
      </w:r>
      <w:r>
        <w:rPr>
          <w:rFonts w:ascii="Times New Roman" w:hAnsi="Times New Roman" w:cs="Times New Roman"/>
          <w:color w:val="000000" w:themeColor="text1"/>
          <w:sz w:val="28"/>
          <w:szCs w:val="28"/>
          <w:lang w:val="en-US"/>
        </w:rPr>
        <w:t>Statistica</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for</w:t>
      </w:r>
      <w:r>
        <w:rPr>
          <w:rFonts w:ascii="Times New Roman" w:hAnsi="Times New Roman" w:cs="Times New Roman"/>
          <w:color w:val="000000"/>
          <w:sz w:val="28"/>
          <w:szCs w:val="28"/>
        </w:rPr>
        <w:t xml:space="preserve"> Windows (версия 10).</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b/>
          <w:color w:val="000000"/>
          <w:sz w:val="28"/>
          <w:szCs w:val="28"/>
          <w:lang w:eastAsia="ru-RU"/>
        </w:rPr>
        <w:t>Результаты</w:t>
      </w:r>
      <w:r>
        <w:rPr>
          <w:rFonts w:ascii="Times New Roman" w:hAnsi="Times New Roman"/>
          <w:color w:val="000000"/>
          <w:sz w:val="28"/>
          <w:szCs w:val="28"/>
          <w:lang w:eastAsia="ru-RU"/>
        </w:rPr>
        <w:t xml:space="preserve">. В ходе проведения исследования у больных с делириозным синдромом диагностировали </w:t>
      </w:r>
      <w:r>
        <w:rPr>
          <w:rFonts w:ascii="Times New Roman" w:hAnsi="Times New Roman" w:cs="Times New Roman"/>
          <w:sz w:val="28"/>
          <w:szCs w:val="28"/>
        </w:rPr>
        <w:t xml:space="preserve">транзиторную гипераммониемию средней выраженности по классификации, предложенной Лазебник Л.Б. и соавт. (2019) с синдром печеночно-клеточной недостаточности. </w:t>
      </w:r>
      <w:r>
        <w:rPr>
          <w:rFonts w:ascii="Times New Roman" w:hAnsi="Times New Roman" w:cs="Times New Roman"/>
          <w:color w:val="000000" w:themeColor="text1"/>
          <w:sz w:val="28"/>
          <w:szCs w:val="28"/>
        </w:rPr>
        <w:t>Фактором повышение свободного аммиака в крови стал катаболизм белков и гипоксия тканей. И</w:t>
      </w:r>
      <w:r>
        <w:rPr>
          <w:rFonts w:ascii="Times New Roman" w:hAnsi="Times New Roman" w:cs="Times New Roman"/>
          <w:sz w:val="28"/>
          <w:szCs w:val="28"/>
        </w:rPr>
        <w:t xml:space="preserve">спользование гепатопротектора на </w:t>
      </w:r>
      <w:r>
        <w:rPr>
          <w:rFonts w:ascii="Times New Roman" w:hAnsi="Times New Roman" w:cs="Times New Roman"/>
          <w:color w:val="000000" w:themeColor="text1"/>
          <w:sz w:val="28"/>
          <w:szCs w:val="28"/>
        </w:rPr>
        <w:t>основе соединения аргинина и глутаминовой кислоты «Глутаргина» позволило скорректировать</w:t>
      </w:r>
      <w:r>
        <w:rPr>
          <w:rFonts w:ascii="Times New Roman" w:hAnsi="Times New Roman" w:cs="Times New Roman"/>
          <w:sz w:val="28"/>
          <w:szCs w:val="28"/>
        </w:rPr>
        <w:t xml:space="preserve"> нарушения обменных процессов и значительно уменьшить длительность экзогенного психоза и минимизировать постделириозные осложнения в виде психоорганического синдрома и тяжелой постпсихотической астении.</w:t>
      </w:r>
    </w:p>
    <w:p>
      <w:pPr>
        <w:suppressAutoHyphen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Ограничения исследования</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изучении влияние гипераммониемии на течение делириозного синдрома при острых тяжелых отравлениях 1,4-бутандиолом проведено проспективное обследование 59 пациентов мужского пола отделения реанимации и интенсивной терапии, в состав интенсивной терапии которых был включен </w:t>
      </w:r>
      <w:r>
        <w:rPr>
          <w:rFonts w:ascii="Times New Roman" w:hAnsi="Times New Roman" w:cs="Times New Roman"/>
          <w:iCs/>
          <w:sz w:val="28"/>
          <w:szCs w:val="28"/>
        </w:rPr>
        <w:t>аргинина глутамат («Глутаргин») (</w:t>
      </w:r>
      <w:r>
        <w:rPr>
          <w:rFonts w:ascii="Times New Roman" w:hAnsi="Times New Roman" w:cs="Times New Roman"/>
          <w:color w:val="000000"/>
          <w:sz w:val="28"/>
          <w:szCs w:val="28"/>
        </w:rPr>
        <w:t xml:space="preserve">ООО Фармацевтическая </w:t>
      </w:r>
      <w:r>
        <w:rPr>
          <w:rFonts w:ascii="Times New Roman" w:hAnsi="Times New Roman" w:cs="Times New Roman"/>
          <w:color w:val="000000"/>
          <w:sz w:val="28"/>
          <w:szCs w:val="28"/>
        </w:rPr>
        <w:lastRenderedPageBreak/>
        <w:t>компания «Здоровье»</w:t>
      </w:r>
      <w:r>
        <w:rPr>
          <w:rFonts w:ascii="Times New Roman" w:hAnsi="Times New Roman" w:cs="Times New Roman"/>
          <w:sz w:val="28"/>
          <w:szCs w:val="28"/>
        </w:rPr>
        <w:t>)</w:t>
      </w:r>
      <w:r>
        <w:rPr>
          <w:rFonts w:ascii="Times New Roman" w:hAnsi="Times New Roman" w:cs="Times New Roman"/>
          <w:iCs/>
          <w:sz w:val="28"/>
          <w:szCs w:val="28"/>
        </w:rPr>
        <w:t xml:space="preserve">, что позволило установить причину пролонгированного течения  делирия и усовершенствовать тактику его лечения. </w:t>
      </w:r>
    </w:p>
    <w:p>
      <w:pPr>
        <w:tabs>
          <w:tab w:val="left" w:pos="567"/>
        </w:tabs>
        <w:suppressAutoHyphens/>
        <w:autoSpaceDE w:val="0"/>
        <w:spacing w:after="0"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Заключение</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Полученные в настоящем исследовании результаты демонстрируют высокую эффективность гепатопротектора аргинина глутамата в отношении замедления прогрессирования клинического течения постинтоксикационного делирия </w:t>
      </w:r>
      <w:r>
        <w:rPr>
          <w:rFonts w:ascii="Times New Roman" w:hAnsi="Times New Roman"/>
          <w:color w:val="000000"/>
          <w:sz w:val="28"/>
          <w:szCs w:val="28"/>
          <w:lang w:eastAsia="ru-RU"/>
        </w:rPr>
        <w:t>при острых тяжелых отравлениях 1,4-бутандиолом.</w:t>
      </w:r>
    </w:p>
    <w:p>
      <w:pPr>
        <w:widowControl w:val="0"/>
        <w:suppressAutoHyphens/>
        <w:spacing w:after="0" w:line="36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b/>
          <w:bCs/>
          <w:color w:val="000000"/>
          <w:sz w:val="28"/>
          <w:szCs w:val="28"/>
          <w:lang w:eastAsia="ru-RU"/>
        </w:rPr>
        <w:t>Ключевые слова:</w:t>
      </w:r>
      <w:r>
        <w:rPr>
          <w:rFonts w:ascii="Times New Roman" w:hAnsi="Times New Roman"/>
          <w:color w:val="000000"/>
          <w:sz w:val="28"/>
          <w:szCs w:val="28"/>
          <w:lang w:eastAsia="ru-RU"/>
        </w:rPr>
        <w:t xml:space="preserve"> многопрофильный стационар, острые отравления, токсикология, </w:t>
      </w:r>
      <w:r>
        <w:rPr>
          <w:rFonts w:ascii="Times New Roman" w:hAnsi="Times New Roman" w:cs="Times New Roman"/>
          <w:color w:val="000000" w:themeColor="text1"/>
          <w:sz w:val="28"/>
          <w:szCs w:val="28"/>
          <w:shd w:val="clear" w:color="auto" w:fill="FFFFFF"/>
        </w:rPr>
        <w:t>делирий, 1,4-бутандиол, аргинина глутамат, Глутаргин</w:t>
      </w:r>
    </w:p>
    <w:p>
      <w:pPr>
        <w:tabs>
          <w:tab w:val="left" w:pos="567"/>
        </w:tabs>
        <w:suppressAutoHyphens/>
        <w:autoSpaceDE w:val="0"/>
        <w:autoSpaceDN w:val="0"/>
        <w:adjustRightInd w:val="0"/>
        <w:spacing w:after="0" w:line="360" w:lineRule="auto"/>
        <w:jc w:val="both"/>
        <w:rPr>
          <w:rFonts w:ascii="Times New Roman" w:hAnsi="Times New Roman"/>
          <w:iCs/>
          <w:color w:val="000000" w:themeColor="text1"/>
          <w:sz w:val="28"/>
          <w:szCs w:val="28"/>
        </w:rPr>
      </w:pPr>
      <w:r>
        <w:rPr>
          <w:rFonts w:ascii="Times New Roman" w:eastAsia="Calibri" w:hAnsi="Times New Roman" w:cs="Times New Roman"/>
          <w:b/>
          <w:color w:val="00B050"/>
          <w:sz w:val="28"/>
          <w:szCs w:val="28"/>
        </w:rPr>
        <w:t xml:space="preserve">       </w:t>
      </w:r>
      <w:r>
        <w:rPr>
          <w:rFonts w:ascii="Times New Roman" w:hAnsi="Times New Roman"/>
          <w:b/>
          <w:color w:val="00B050"/>
          <w:sz w:val="28"/>
          <w:szCs w:val="28"/>
        </w:rPr>
        <w:t xml:space="preserve"> </w:t>
      </w:r>
      <w:r>
        <w:rPr>
          <w:rFonts w:ascii="Times New Roman" w:eastAsia="Calibri" w:hAnsi="Times New Roman" w:cs="Times New Roman"/>
          <w:b/>
          <w:color w:val="000000"/>
          <w:sz w:val="28"/>
          <w:szCs w:val="28"/>
        </w:rPr>
        <w:t>Соблюдение этических стандартов</w:t>
      </w:r>
      <w:r>
        <w:rPr>
          <w:rFonts w:ascii="Times New Roman" w:eastAsia="Calibri" w:hAnsi="Times New Roman" w:cs="Times New Roman"/>
          <w:color w:val="000000"/>
          <w:sz w:val="28"/>
          <w:szCs w:val="28"/>
        </w:rPr>
        <w:t>.</w:t>
      </w:r>
      <w:r>
        <w:rPr>
          <w:rFonts w:ascii="Times New Roman" w:eastAsia="Calibri" w:hAnsi="Times New Roman" w:cs="Times New Roman"/>
          <w:iCs/>
          <w:color w:val="000000"/>
          <w:sz w:val="28"/>
          <w:szCs w:val="28"/>
        </w:rPr>
        <w:t xml:space="preserve"> Исследование было одобрено локальным этическим комитетом ГБУ СПб НИИ СП им. И. И. Джанелидзе протокол №1 от </w:t>
      </w:r>
      <w:r>
        <w:rPr>
          <w:rFonts w:ascii="Times New Roman" w:hAnsi="Times New Roman"/>
          <w:iCs/>
          <w:color w:val="000000" w:themeColor="text1"/>
          <w:sz w:val="28"/>
          <w:szCs w:val="28"/>
        </w:rPr>
        <w:t>12</w:t>
      </w:r>
      <w:r>
        <w:rPr>
          <w:rFonts w:ascii="Times New Roman" w:eastAsia="Calibri" w:hAnsi="Times New Roman" w:cs="Times New Roman"/>
          <w:iCs/>
          <w:color w:val="000000"/>
          <w:sz w:val="28"/>
          <w:szCs w:val="28"/>
        </w:rPr>
        <w:t>.0</w:t>
      </w:r>
      <w:r>
        <w:rPr>
          <w:rFonts w:ascii="Times New Roman" w:hAnsi="Times New Roman"/>
          <w:iCs/>
          <w:color w:val="000000" w:themeColor="text1"/>
          <w:sz w:val="28"/>
          <w:szCs w:val="28"/>
        </w:rPr>
        <w:t>2</w:t>
      </w:r>
      <w:r>
        <w:rPr>
          <w:rFonts w:ascii="Times New Roman" w:eastAsia="Calibri" w:hAnsi="Times New Roman" w:cs="Times New Roman"/>
          <w:iCs/>
          <w:color w:val="000000"/>
          <w:sz w:val="28"/>
          <w:szCs w:val="28"/>
        </w:rPr>
        <w:t>.202</w:t>
      </w:r>
      <w:r>
        <w:rPr>
          <w:rFonts w:ascii="Times New Roman" w:hAnsi="Times New Roman"/>
          <w:iCs/>
          <w:color w:val="000000" w:themeColor="text1"/>
          <w:sz w:val="28"/>
          <w:szCs w:val="28"/>
        </w:rPr>
        <w:t>1</w:t>
      </w:r>
      <w:r>
        <w:rPr>
          <w:rFonts w:ascii="Times New Roman" w:eastAsia="Calibri" w:hAnsi="Times New Roman" w:cs="Times New Roman"/>
          <w:iCs/>
          <w:color w:val="000000"/>
          <w:sz w:val="28"/>
          <w:szCs w:val="28"/>
        </w:rPr>
        <w:t xml:space="preserve"> г.</w:t>
      </w:r>
    </w:p>
    <w:p>
      <w:pPr>
        <w:spacing w:after="0" w:line="360" w:lineRule="auto"/>
        <w:ind w:firstLine="567"/>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Для корреспонденции:</w:t>
      </w:r>
    </w:p>
    <w:p>
      <w:pPr>
        <w:spacing w:after="0" w:line="360" w:lineRule="auto"/>
        <w:ind w:firstLine="567"/>
        <w:contextualSpacing/>
        <w:jc w:val="both"/>
        <w:rPr>
          <w:rFonts w:ascii="Times New Roman" w:hAnsi="Times New Roman" w:cs="Times New Roman"/>
          <w:b/>
          <w:bCs/>
          <w:sz w:val="28"/>
          <w:szCs w:val="28"/>
        </w:rPr>
      </w:pPr>
      <w:r>
        <w:rPr>
          <w:rFonts w:ascii="Times New Roman" w:hAnsi="Times New Roman" w:cs="Times New Roman"/>
          <w:color w:val="000000"/>
          <w:sz w:val="28"/>
          <w:szCs w:val="28"/>
          <w:lang w:eastAsia="ru-RU"/>
        </w:rPr>
        <w:t>Лодягин Алексей Николаевич (Lodyagin Alekse</w:t>
      </w:r>
      <w:r>
        <w:rPr>
          <w:rFonts w:ascii="Times New Roman" w:hAnsi="Times New Roman" w:cs="Times New Roman"/>
          <w:color w:val="000000"/>
          <w:sz w:val="28"/>
          <w:szCs w:val="28"/>
          <w:lang w:val="en-US" w:eastAsia="ru-RU"/>
        </w:rPr>
        <w:t>i</w:t>
      </w:r>
      <w:r>
        <w:rPr>
          <w:rFonts w:ascii="Times New Roman" w:hAnsi="Times New Roman" w:cs="Times New Roman"/>
          <w:color w:val="000000"/>
          <w:sz w:val="28"/>
          <w:szCs w:val="28"/>
          <w:lang w:eastAsia="ru-RU"/>
        </w:rPr>
        <w:t xml:space="preserve"> Nikolaevich), доктор мед</w:t>
      </w:r>
      <w:r>
        <w:rPr>
          <w:rFonts w:ascii="Times New Roman" w:hAnsi="Times New Roman" w:cs="Times New Roman"/>
          <w:color w:val="000000"/>
          <w:sz w:val="28"/>
          <w:szCs w:val="28"/>
          <w:lang w:eastAsia="ru-RU"/>
        </w:rPr>
        <w:t>и</w:t>
      </w:r>
      <w:r>
        <w:rPr>
          <w:rFonts w:ascii="Times New Roman" w:hAnsi="Times New Roman" w:cs="Times New Roman"/>
          <w:color w:val="000000"/>
          <w:sz w:val="28"/>
          <w:szCs w:val="28"/>
          <w:lang w:eastAsia="ru-RU"/>
        </w:rPr>
        <w:t xml:space="preserve">цинских наук, профессор, руководитель отдела клинической токсикологии ГБУ СПб НИИ скорой помощи им. И.И. Джанелидзе, </w:t>
      </w:r>
      <w:r>
        <w:rPr>
          <w:rFonts w:ascii="Times New Roman" w:hAnsi="Times New Roman" w:cs="Times New Roman"/>
          <w:bCs/>
          <w:color w:val="000000"/>
          <w:sz w:val="28"/>
          <w:szCs w:val="28"/>
          <w:lang w:eastAsia="ru-RU"/>
        </w:rPr>
        <w:t>192242,</w:t>
      </w:r>
      <w:r>
        <w:rPr>
          <w:rFonts w:ascii="Times New Roman" w:hAnsi="Times New Roman" w:cs="Times New Roman"/>
          <w:b/>
          <w:bCs/>
          <w:color w:val="000000"/>
          <w:sz w:val="28"/>
          <w:szCs w:val="28"/>
          <w:lang w:eastAsia="ru-RU"/>
        </w:rPr>
        <w:t xml:space="preserve"> </w:t>
      </w:r>
      <w:r>
        <w:rPr>
          <w:rFonts w:ascii="Times New Roman" w:hAnsi="Times New Roman" w:cs="Times New Roman"/>
          <w:color w:val="000000"/>
          <w:sz w:val="28"/>
          <w:szCs w:val="28"/>
          <w:lang w:eastAsia="ru-RU"/>
        </w:rPr>
        <w:t>Санкт-Петербург.</w:t>
      </w:r>
      <w:r>
        <w:rPr>
          <w:rFonts w:ascii="Times New Roman" w:hAnsi="Times New Roman" w:cs="Times New Roman"/>
          <w:sz w:val="28"/>
          <w:szCs w:val="28"/>
        </w:rPr>
        <w:t xml:space="preserve">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hyperlink r:id="rId13" w:history="1">
        <w:r>
          <w:rPr>
            <w:rStyle w:val="ad"/>
            <w:rFonts w:ascii="Times New Roman" w:hAnsi="Times New Roman" w:cs="Times New Roman"/>
            <w:sz w:val="28"/>
            <w:szCs w:val="28"/>
            <w:lang w:val="en-US" w:eastAsia="ru-RU"/>
          </w:rPr>
          <w:t>andreysin</w:t>
        </w:r>
        <w:r>
          <w:rPr>
            <w:rStyle w:val="ad"/>
            <w:rFonts w:ascii="Times New Roman" w:hAnsi="Times New Roman" w:cs="Times New Roman"/>
            <w:sz w:val="28"/>
            <w:szCs w:val="28"/>
            <w:lang w:eastAsia="ru-RU"/>
          </w:rPr>
          <w:t>2013@</w:t>
        </w:r>
        <w:r>
          <w:rPr>
            <w:rStyle w:val="ad"/>
            <w:rFonts w:ascii="Times New Roman" w:hAnsi="Times New Roman" w:cs="Times New Roman"/>
            <w:sz w:val="28"/>
            <w:szCs w:val="28"/>
            <w:lang w:val="en-US" w:eastAsia="ru-RU"/>
          </w:rPr>
          <w:t>yandex</w:t>
        </w:r>
        <w:r>
          <w:rPr>
            <w:rStyle w:val="ad"/>
            <w:rFonts w:ascii="Times New Roman" w:hAnsi="Times New Roman" w:cs="Times New Roman"/>
            <w:sz w:val="28"/>
            <w:szCs w:val="28"/>
            <w:lang w:eastAsia="ru-RU"/>
          </w:rPr>
          <w:t>.</w:t>
        </w:r>
        <w:r>
          <w:rPr>
            <w:rStyle w:val="ad"/>
            <w:rFonts w:ascii="Times New Roman" w:hAnsi="Times New Roman" w:cs="Times New Roman"/>
            <w:sz w:val="28"/>
            <w:szCs w:val="28"/>
            <w:lang w:val="en-US" w:eastAsia="ru-RU"/>
          </w:rPr>
          <w:t>ru</w:t>
        </w:r>
      </w:hyperlink>
      <w:r>
        <w:rPr>
          <w:rFonts w:ascii="Times New Roman" w:hAnsi="Times New Roman" w:cs="Times New Roman"/>
          <w:color w:val="000000"/>
          <w:sz w:val="28"/>
          <w:szCs w:val="28"/>
          <w:lang w:eastAsia="ru-RU"/>
        </w:rPr>
        <w:t>.</w:t>
      </w:r>
    </w:p>
    <w:p>
      <w:pPr>
        <w:spacing w:after="0" w:line="360" w:lineRule="auto"/>
        <w:ind w:firstLine="567"/>
        <w:contextualSpacing/>
        <w:jc w:val="both"/>
        <w:rPr>
          <w:rFonts w:ascii="Times New Roman" w:hAnsi="Times New Roman"/>
          <w:sz w:val="28"/>
          <w:szCs w:val="28"/>
        </w:rPr>
      </w:pPr>
      <w:r>
        <w:rPr>
          <w:rFonts w:ascii="Times New Roman" w:hAnsi="Times New Roman"/>
          <w:b/>
          <w:bCs/>
          <w:sz w:val="28"/>
          <w:szCs w:val="28"/>
        </w:rPr>
        <w:t xml:space="preserve">Конфликт интересов. </w:t>
      </w:r>
      <w:r>
        <w:rPr>
          <w:rFonts w:ascii="Times New Roman" w:hAnsi="Times New Roman"/>
          <w:sz w:val="28"/>
          <w:szCs w:val="28"/>
        </w:rPr>
        <w:t>Авторы заявляют об отсутствии конфликтов инт</w:t>
      </w:r>
      <w:r>
        <w:rPr>
          <w:rFonts w:ascii="Times New Roman" w:hAnsi="Times New Roman"/>
          <w:sz w:val="28"/>
          <w:szCs w:val="28"/>
        </w:rPr>
        <w:t>е</w:t>
      </w:r>
      <w:r>
        <w:rPr>
          <w:rFonts w:ascii="Times New Roman" w:hAnsi="Times New Roman"/>
          <w:sz w:val="28"/>
          <w:szCs w:val="28"/>
        </w:rPr>
        <w:t>ресов в связи с пу</w:t>
      </w:r>
      <w:r>
        <w:rPr>
          <w:rFonts w:ascii="Times New Roman" w:hAnsi="Times New Roman"/>
          <w:sz w:val="28"/>
          <w:szCs w:val="28"/>
        </w:rPr>
        <w:t>б</w:t>
      </w:r>
      <w:r>
        <w:rPr>
          <w:rFonts w:ascii="Times New Roman" w:hAnsi="Times New Roman"/>
          <w:sz w:val="28"/>
          <w:szCs w:val="28"/>
        </w:rPr>
        <w:t>ликацией данной статьи</w:t>
      </w:r>
      <w:r>
        <w:rPr>
          <w:rFonts w:ascii="Times New Roman" w:hAnsi="Times New Roman"/>
          <w:b/>
          <w:bCs/>
          <w:sz w:val="28"/>
          <w:szCs w:val="28"/>
        </w:rPr>
        <w:t>.</w:t>
      </w:r>
    </w:p>
    <w:p>
      <w:pPr>
        <w:shd w:val="clear" w:color="auto" w:fill="FFFFFF"/>
        <w:spacing w:after="0" w:line="360" w:lineRule="auto"/>
        <w:ind w:firstLine="540"/>
        <w:rPr>
          <w:rFonts w:ascii="Times New Roman" w:hAnsi="Times New Roman"/>
          <w:sz w:val="28"/>
          <w:szCs w:val="28"/>
        </w:rPr>
      </w:pPr>
      <w:r>
        <w:rPr>
          <w:rFonts w:ascii="Times New Roman" w:hAnsi="Times New Roman"/>
          <w:b/>
          <w:bCs/>
          <w:sz w:val="28"/>
          <w:szCs w:val="28"/>
        </w:rPr>
        <w:t>Финансирование.</w:t>
      </w:r>
      <w:r>
        <w:rPr>
          <w:rFonts w:ascii="Times New Roman" w:hAnsi="Times New Roman"/>
          <w:bCs/>
          <w:sz w:val="28"/>
          <w:szCs w:val="28"/>
        </w:rPr>
        <w:t xml:space="preserve"> Исследование не имело спонсорской поддержки. </w:t>
      </w:r>
    </w:p>
    <w:p>
      <w:pPr>
        <w:spacing w:after="0" w:line="360" w:lineRule="auto"/>
        <w:ind w:right="-1"/>
        <w:contextualSpacing/>
        <w:jc w:val="both"/>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b/>
          <w:sz w:val="28"/>
          <w:szCs w:val="28"/>
        </w:rPr>
        <w:t xml:space="preserve"> Участие авторов:</w:t>
      </w:r>
    </w:p>
    <w:p>
      <w:pPr>
        <w:suppressAutoHyphens/>
        <w:spacing w:after="0" w:line="360" w:lineRule="auto"/>
        <w:ind w:right="-1"/>
        <w:contextualSpacing/>
        <w:jc w:val="both"/>
        <w:rPr>
          <w:rFonts w:ascii="Times New Roman" w:hAnsi="Times New Roman"/>
          <w:sz w:val="28"/>
          <w:szCs w:val="28"/>
        </w:rPr>
      </w:pPr>
      <w:r>
        <w:rPr>
          <w:rFonts w:ascii="Times New Roman" w:hAnsi="Times New Roman"/>
          <w:sz w:val="28"/>
          <w:szCs w:val="28"/>
        </w:rPr>
        <w:t>Лодягин А.Н. - концепция и дизайн исследования, сбор и обработка материала, статистич</w:t>
      </w:r>
      <w:r>
        <w:rPr>
          <w:rFonts w:ascii="Times New Roman" w:hAnsi="Times New Roman"/>
          <w:sz w:val="28"/>
          <w:szCs w:val="28"/>
        </w:rPr>
        <w:t>е</w:t>
      </w:r>
      <w:r>
        <w:rPr>
          <w:rFonts w:ascii="Times New Roman" w:hAnsi="Times New Roman"/>
          <w:sz w:val="28"/>
          <w:szCs w:val="28"/>
        </w:rPr>
        <w:t xml:space="preserve">ская обработка, написание текста, редактирование; </w:t>
      </w:r>
    </w:p>
    <w:p>
      <w:pPr>
        <w:suppressAutoHyphens/>
        <w:spacing w:after="0" w:line="360" w:lineRule="auto"/>
        <w:jc w:val="both"/>
        <w:rPr>
          <w:rFonts w:ascii="Times New Roman" w:hAnsi="Times New Roman"/>
          <w:sz w:val="28"/>
          <w:szCs w:val="28"/>
        </w:rPr>
      </w:pPr>
      <w:r>
        <w:rPr>
          <w:rFonts w:ascii="Times New Roman" w:hAnsi="Times New Roman"/>
          <w:bCs/>
          <w:sz w:val="28"/>
          <w:szCs w:val="28"/>
        </w:rPr>
        <w:t>Синенченко А.Г.</w:t>
      </w:r>
      <w:r>
        <w:rPr>
          <w:rFonts w:ascii="Times New Roman" w:hAnsi="Times New Roman"/>
          <w:sz w:val="28"/>
          <w:szCs w:val="28"/>
        </w:rPr>
        <w:t xml:space="preserve"> - сбор и обработка материала, статистический анализ, написание текста;</w:t>
      </w:r>
    </w:p>
    <w:p>
      <w:pPr>
        <w:suppressAutoHyphens/>
        <w:spacing w:after="0" w:line="360" w:lineRule="auto"/>
        <w:jc w:val="both"/>
        <w:rPr>
          <w:rFonts w:ascii="Times New Roman" w:hAnsi="Times New Roman"/>
          <w:sz w:val="28"/>
          <w:szCs w:val="28"/>
        </w:rPr>
      </w:pPr>
      <w:r>
        <w:rPr>
          <w:rFonts w:ascii="Times New Roman" w:hAnsi="Times New Roman"/>
          <w:sz w:val="28"/>
          <w:szCs w:val="28"/>
        </w:rPr>
        <w:t>Батоцыренов Б.В. - концепция и дизайн исследования, редактирование;</w:t>
      </w:r>
    </w:p>
    <w:p>
      <w:pPr>
        <w:suppressAutoHyphens/>
        <w:spacing w:after="0" w:line="360" w:lineRule="auto"/>
        <w:jc w:val="both"/>
        <w:rPr>
          <w:rFonts w:ascii="Times New Roman" w:hAnsi="Times New Roman"/>
          <w:sz w:val="28"/>
          <w:szCs w:val="28"/>
        </w:rPr>
      </w:pPr>
      <w:r>
        <w:rPr>
          <w:rFonts w:ascii="Times New Roman" w:hAnsi="Times New Roman"/>
          <w:bCs/>
          <w:sz w:val="28"/>
          <w:szCs w:val="28"/>
        </w:rPr>
        <w:t xml:space="preserve">Синенченко Г.И. </w:t>
      </w:r>
      <w:r>
        <w:rPr>
          <w:rFonts w:ascii="Times New Roman" w:hAnsi="Times New Roman"/>
          <w:sz w:val="28"/>
          <w:szCs w:val="28"/>
        </w:rPr>
        <w:t>- концепция и дизайн исследования, написание текста, редактирование,</w:t>
      </w:r>
    </w:p>
    <w:p>
      <w:pPr>
        <w:suppressAutoHyphens/>
        <w:spacing w:after="0" w:line="360" w:lineRule="auto"/>
        <w:ind w:right="-1"/>
        <w:contextualSpacing/>
        <w:jc w:val="both"/>
        <w:rPr>
          <w:rFonts w:ascii="Times New Roman" w:hAnsi="Times New Roman"/>
          <w:sz w:val="28"/>
          <w:szCs w:val="28"/>
        </w:rPr>
      </w:pPr>
      <w:r>
        <w:rPr>
          <w:rFonts w:ascii="Times New Roman" w:hAnsi="Times New Roman"/>
          <w:sz w:val="28"/>
          <w:szCs w:val="28"/>
        </w:rPr>
        <w:t>Все соавторы -- утверждение окончательного варианта статьи, ответственность за целос</w:t>
      </w:r>
      <w:r>
        <w:rPr>
          <w:rFonts w:ascii="Times New Roman" w:hAnsi="Times New Roman"/>
          <w:sz w:val="28"/>
          <w:szCs w:val="28"/>
        </w:rPr>
        <w:t>т</w:t>
      </w:r>
      <w:r>
        <w:rPr>
          <w:rFonts w:ascii="Times New Roman" w:hAnsi="Times New Roman"/>
          <w:sz w:val="28"/>
          <w:szCs w:val="28"/>
        </w:rPr>
        <w:t>ность всех частей статьи.</w:t>
      </w:r>
    </w:p>
    <w:p>
      <w:pPr>
        <w:widowControl w:val="0"/>
        <w:suppressAutoHyphens/>
        <w:spacing w:after="0" w:line="360" w:lineRule="auto"/>
        <w:ind w:firstLine="567"/>
        <w:jc w:val="both"/>
        <w:rPr>
          <w:rFonts w:ascii="Times New Roman" w:hAnsi="Times New Roman" w:cs="Times New Roman"/>
          <w:b/>
          <w:color w:val="000000" w:themeColor="text1"/>
          <w:sz w:val="28"/>
          <w:szCs w:val="28"/>
          <w:shd w:val="clear" w:color="auto" w:fill="FFFFFF"/>
        </w:rPr>
      </w:pPr>
    </w:p>
    <w:p>
      <w:pPr>
        <w:widowControl w:val="0"/>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ВВЕДЕНИЕ</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Проблема изучения последствий употребления современных психоактивных веществ (ПАВ) с наркотическим эффектом остается достаточно актуальной [1-3]. На сегодняшний день во всех странах мира большое распространение в молодежной среде получили прекурсоры гамма-гидроксиоксимасляной кислоты (ГОМК) и синтетические катиноны [4, 5]. Использование токсикантов данного класса очень часто приводит к передозировкам и тяжелым отравлениям [6]. В результате систематического их употребления развиваются наркотическая зависимость, абстинентный синдром, интоксикационные и постинтоксикационные психозы [7,8].</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Установлено, что острые тяжелые отравления (ОТО) ГОМК и ее прекурсорами приводят к выраженным проявлениям токсико-гипоксической энцефалопатии с угнетением сознания, нарушению дыхания, патологии сердечно-сосудистой системы, метаболическиму ацидозу, реперфузионным нарушениям и нарушениям со стороны интегративных структур головного мозга [9,10].</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в литературе приводится, описание делирия при ОТО прекурсорами ГОМК, патогенетические механизмы его развития остаются малоизученными. </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настоящее время исследователи уделяют большое внимание изучению влияния свободного аммиака в крови на выраженность печеночной энцефалопатии и психических нарушений у больных с алкогольной болезнью, циррозом печени [11]. Доказано, что формировании гипераммониемии происходит в результате повышения всасывания аммиака в кишечнике, снижения активности ферментов цикла синтеза мочевины и глутаматсинтетазы у больных с циррозом печени, в том, числе алкогольной этиологии [12, 13]. Доказано, что гипераммониемия встречается у больных с хроническими заболеваниями печени на доцирротической стадии [14] и у лиц с </w:t>
      </w:r>
      <w:r>
        <w:rPr>
          <w:rFonts w:ascii="Times New Roman" w:hAnsi="Times New Roman" w:cs="Times New Roman"/>
          <w:sz w:val="28"/>
          <w:szCs w:val="28"/>
        </w:rPr>
        <w:lastRenderedPageBreak/>
        <w:t>тяжелой формой психогенной астении, без хронической печеночной патологии [15].</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Установлено, что повышение уровня аммиака в крови в 2,4 раза, угнетает газообмен, термогенез, увеличивает вероятность летального исхода при острой алкогольной интоксикации и барбитуратной коме у животных [16].</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изучение влияния свободного аммиака на выраженность клинической симптоматики делирия при ОТО 1,4-БД представляет научный интерес, что и определяет актуальность исследования.</w:t>
      </w: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 исследования:</w:t>
      </w:r>
      <w:r>
        <w:rPr>
          <w:rFonts w:ascii="Times New Roman" w:hAnsi="Times New Roman" w:cs="Times New Roman"/>
          <w:color w:val="000000" w:themeColor="text1"/>
          <w:sz w:val="28"/>
          <w:szCs w:val="28"/>
        </w:rPr>
        <w:t xml:space="preserve"> провести анализ влияния свободного аммиака на выраженность делирия при ОТО 1,4-бутандиолом и разработать методы коррекции гипераммониемии.</w:t>
      </w:r>
    </w:p>
    <w:p>
      <w:pPr>
        <w:suppressAutoHyphen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МАТЕРИАЛЫ И МЕТОДЫ</w:t>
      </w:r>
    </w:p>
    <w:p>
      <w:pPr>
        <w:pStyle w:val="af"/>
        <w:numPr>
          <w:ilvl w:val="0"/>
          <w:numId w:val="5"/>
        </w:numPr>
        <w:shd w:val="clear" w:color="auto" w:fill="F5F5F5"/>
        <w:suppressAutoHyphens/>
        <w:spacing w:line="360" w:lineRule="auto"/>
        <w:ind w:left="0"/>
        <w:rPr>
          <w:rFonts w:ascii="Tahoma" w:hAnsi="Tahoma" w:cs="Tahoma"/>
          <w:vanish/>
          <w:color w:val="000000"/>
          <w:sz w:val="28"/>
          <w:szCs w:val="28"/>
        </w:rPr>
      </w:pPr>
    </w:p>
    <w:p>
      <w:pPr>
        <w:pStyle w:val="af"/>
        <w:numPr>
          <w:ilvl w:val="0"/>
          <w:numId w:val="5"/>
        </w:numPr>
        <w:shd w:val="clear" w:color="auto" w:fill="F5F5F5"/>
        <w:suppressAutoHyphens/>
        <w:spacing w:line="360" w:lineRule="auto"/>
        <w:ind w:left="0"/>
        <w:rPr>
          <w:rFonts w:ascii="Tahoma" w:hAnsi="Tahoma" w:cs="Tahoma"/>
          <w:vanish/>
          <w:color w:val="000000"/>
          <w:sz w:val="28"/>
          <w:szCs w:val="28"/>
        </w:rPr>
      </w:pPr>
    </w:p>
    <w:p>
      <w:pPr>
        <w:pStyle w:val="af"/>
        <w:numPr>
          <w:ilvl w:val="0"/>
          <w:numId w:val="5"/>
        </w:numPr>
        <w:shd w:val="clear" w:color="auto" w:fill="F5F5F5"/>
        <w:suppressAutoHyphens/>
        <w:spacing w:line="360" w:lineRule="auto"/>
        <w:ind w:left="0"/>
        <w:rPr>
          <w:rFonts w:ascii="Tahoma" w:hAnsi="Tahoma" w:cs="Tahoma"/>
          <w:vanish/>
          <w:color w:val="000000"/>
          <w:sz w:val="28"/>
          <w:szCs w:val="28"/>
        </w:rPr>
      </w:pP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центре лечения острых отравлений ГБУ НИИ СП им. И.И. Джанелидзе проведено проспективное обследование 59 пациентов мужского пола в возрасте от 20 до 45 лет (средний возраст составил – 29,2 ± 4,47 лет) отделения реанимации и интенсивной терапии (ОРИТ) с ОТО 1,4-БД, осложненным делириозным синдромом (ДС).</w:t>
      </w:r>
    </w:p>
    <w:p>
      <w:pPr>
        <w:suppressAutoHyphens/>
        <w:spacing w:after="0" w:line="36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Все пациенты были разделены на две группы по тактике проводимой интенсивной терапии: </w:t>
      </w:r>
      <w:r>
        <w:rPr>
          <w:rFonts w:ascii="Times New Roman" w:hAnsi="Times New Roman" w:cs="Times New Roman"/>
          <w:iCs/>
          <w:sz w:val="28"/>
          <w:szCs w:val="28"/>
        </w:rPr>
        <w:t xml:space="preserve">в первую группу (основная) </w:t>
      </w:r>
      <w:r>
        <w:rPr>
          <w:rFonts w:ascii="Times New Roman" w:hAnsi="Times New Roman" w:cs="Times New Roman"/>
          <w:iCs/>
          <w:sz w:val="28"/>
          <w:szCs w:val="28"/>
          <w:lang w:val="en-US"/>
        </w:rPr>
        <w:t>I</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 30) вошли пациенты, в интенсивную терапию которых был включен аргинина глутамат («Глутаргин») (</w:t>
      </w:r>
      <w:r>
        <w:rPr>
          <w:rFonts w:ascii="Times New Roman" w:hAnsi="Times New Roman" w:cs="Times New Roman"/>
          <w:color w:val="000000"/>
          <w:sz w:val="28"/>
          <w:szCs w:val="28"/>
        </w:rPr>
        <w:t>ООО Фармацевтическая компания «Здоровье»</w:t>
      </w:r>
      <w:r>
        <w:rPr>
          <w:rFonts w:ascii="Times New Roman" w:hAnsi="Times New Roman" w:cs="Times New Roman"/>
          <w:sz w:val="28"/>
          <w:szCs w:val="28"/>
        </w:rPr>
        <w:t xml:space="preserve">) в виде внутривенных инфузий по 2 г (5 мл 40% раствора аргинина глутамата) в 200 мл 0,9% раствора натрия хлорида, два раза в сутки, с интервалом 8 часов, курсом 7 дней. </w:t>
      </w:r>
      <w:r>
        <w:rPr>
          <w:rFonts w:ascii="Times New Roman" w:hAnsi="Times New Roman" w:cs="Times New Roman"/>
          <w:iCs/>
          <w:sz w:val="28"/>
          <w:szCs w:val="28"/>
        </w:rPr>
        <w:t xml:space="preserve">Во вторую группу (сравнения) </w:t>
      </w:r>
      <w:r>
        <w:rPr>
          <w:rFonts w:ascii="Times New Roman" w:hAnsi="Times New Roman" w:cs="Times New Roman"/>
          <w:iCs/>
          <w:sz w:val="28"/>
          <w:szCs w:val="28"/>
          <w:lang w:val="en-US"/>
        </w:rPr>
        <w:t>II</w:t>
      </w:r>
      <w:r>
        <w:rPr>
          <w:rFonts w:ascii="Times New Roman" w:hAnsi="Times New Roman" w:cs="Times New Roman"/>
          <w:iCs/>
          <w:sz w:val="28"/>
          <w:szCs w:val="28"/>
        </w:rPr>
        <w:t xml:space="preserve"> (</w:t>
      </w:r>
      <w:r>
        <w:rPr>
          <w:rFonts w:ascii="Times New Roman" w:hAnsi="Times New Roman" w:cs="Times New Roman"/>
          <w:iCs/>
          <w:sz w:val="28"/>
          <w:szCs w:val="28"/>
          <w:lang w:val="en-US"/>
        </w:rPr>
        <w:t>n</w:t>
      </w:r>
      <w:r>
        <w:rPr>
          <w:rFonts w:ascii="Times New Roman" w:hAnsi="Times New Roman" w:cs="Times New Roman"/>
          <w:iCs/>
          <w:sz w:val="28"/>
          <w:szCs w:val="28"/>
        </w:rPr>
        <w:t xml:space="preserve"> = 29) включили пациентов, в стандартную схему лечения которых не входил аргинина глутамат и другие гепатопротекторы.</w:t>
      </w:r>
    </w:p>
    <w:p>
      <w:pPr>
        <w:suppressAutoHyphens/>
        <w:spacing w:after="0" w:line="360" w:lineRule="auto"/>
        <w:ind w:firstLine="567"/>
        <w:jc w:val="both"/>
        <w:rPr>
          <w:rFonts w:ascii="Times New Roman" w:hAnsi="Times New Roman" w:cs="Times New Roman"/>
          <w:sz w:val="28"/>
          <w:szCs w:val="28"/>
        </w:rPr>
      </w:pPr>
      <w:r>
        <w:rPr>
          <w:rFonts w:ascii="Times New Roman" w:eastAsia="PetersburgC" w:hAnsi="Times New Roman" w:cs="Times New Roman"/>
          <w:sz w:val="28"/>
          <w:szCs w:val="28"/>
        </w:rPr>
        <w:t>Диагноз ДС устанавливали в соответствии с критериями Международной классификации болезней 10 пересмотра (</w:t>
      </w:r>
      <w:r>
        <w:rPr>
          <w:rFonts w:ascii="Times New Roman" w:eastAsia="Calibri" w:hAnsi="Times New Roman" w:cs="Times New Roman"/>
          <w:color w:val="000000"/>
          <w:sz w:val="28"/>
          <w:szCs w:val="28"/>
        </w:rPr>
        <w:t>WHO, 1992</w:t>
      </w:r>
      <w:r>
        <w:rPr>
          <w:rFonts w:ascii="Times New Roman" w:eastAsia="PetersburgC"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Для оценки выраженности и тяжести ДС использовалась психометрическая шкала </w:t>
      </w:r>
      <w:r>
        <w:rPr>
          <w:rFonts w:ascii="Times New Roman" w:hAnsi="Times New Roman" w:cs="Times New Roman"/>
          <w:sz w:val="28"/>
          <w:szCs w:val="28"/>
          <w:lang w:val="en-US"/>
        </w:rPr>
        <w:t>DRS</w:t>
      </w:r>
      <w:r>
        <w:rPr>
          <w:rFonts w:ascii="Times New Roman" w:hAnsi="Times New Roman" w:cs="Times New Roman"/>
          <w:sz w:val="28"/>
          <w:szCs w:val="28"/>
        </w:rPr>
        <w:t>-</w:t>
      </w:r>
      <w:r>
        <w:rPr>
          <w:rFonts w:ascii="Times New Roman" w:hAnsi="Times New Roman" w:cs="Times New Roman"/>
          <w:sz w:val="28"/>
          <w:szCs w:val="28"/>
          <w:lang w:val="en-US"/>
        </w:rPr>
        <w:t>R</w:t>
      </w:r>
      <w:r>
        <w:rPr>
          <w:rFonts w:ascii="Times New Roman" w:hAnsi="Times New Roman" w:cs="Times New Roman"/>
          <w:sz w:val="28"/>
          <w:szCs w:val="28"/>
        </w:rPr>
        <w:t>-98 (</w:t>
      </w:r>
      <w:r>
        <w:rPr>
          <w:rFonts w:ascii="Times New Roman" w:hAnsi="Times New Roman" w:cs="Times New Roman"/>
          <w:color w:val="000000" w:themeColor="text1"/>
          <w:sz w:val="28"/>
          <w:szCs w:val="28"/>
        </w:rPr>
        <w:t>Trzepacz и др., 1988)</w:t>
      </w:r>
      <w:r>
        <w:rPr>
          <w:rFonts w:ascii="Times New Roman" w:hAnsi="Times New Roman" w:cs="Times New Roman"/>
          <w:sz w:val="28"/>
          <w:szCs w:val="28"/>
        </w:rPr>
        <w:t xml:space="preserve">. Выраженность психоорганического постиноксикационного синдрома оценивали по шкале </w:t>
      </w:r>
      <w:r>
        <w:rPr>
          <w:rFonts w:ascii="Times New Roman" w:hAnsi="Times New Roman" w:cs="Times New Roman"/>
          <w:sz w:val="28"/>
          <w:szCs w:val="28"/>
          <w:lang w:val="en-US"/>
        </w:rPr>
        <w:t>MMCE</w:t>
      </w:r>
      <w:r>
        <w:rPr>
          <w:rFonts w:ascii="Times New Roman" w:hAnsi="Times New Roman" w:cs="Times New Roman"/>
          <w:sz w:val="28"/>
          <w:szCs w:val="28"/>
        </w:rPr>
        <w:t xml:space="preserve"> (</w:t>
      </w:r>
      <w:r>
        <w:rPr>
          <w:rFonts w:ascii="Times New Roman" w:hAnsi="Times New Roman" w:cs="Times New Roman"/>
          <w:sz w:val="28"/>
          <w:szCs w:val="28"/>
          <w:lang w:val="en-US"/>
        </w:rPr>
        <w:t>Folstein</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 xml:space="preserve">., </w:t>
      </w:r>
      <w:r>
        <w:rPr>
          <w:rFonts w:ascii="Times New Roman" w:hAnsi="Times New Roman" w:cs="Times New Roman"/>
          <w:sz w:val="28"/>
          <w:szCs w:val="28"/>
          <w:lang w:val="en-US"/>
        </w:rPr>
        <w:t>et</w:t>
      </w:r>
      <w:r>
        <w:rPr>
          <w:rFonts w:ascii="Times New Roman" w:hAnsi="Times New Roman" w:cs="Times New Roman"/>
          <w:sz w:val="28"/>
          <w:szCs w:val="28"/>
        </w:rPr>
        <w:t xml:space="preserve"> </w:t>
      </w:r>
      <w:r>
        <w:rPr>
          <w:rFonts w:ascii="Times New Roman" w:hAnsi="Times New Roman" w:cs="Times New Roman"/>
          <w:sz w:val="28"/>
          <w:szCs w:val="28"/>
          <w:lang w:val="en-US"/>
        </w:rPr>
        <w:lastRenderedPageBreak/>
        <w:t>al</w:t>
      </w:r>
      <w:r>
        <w:rPr>
          <w:rFonts w:ascii="Times New Roman" w:hAnsi="Times New Roman" w:cs="Times New Roman"/>
          <w:sz w:val="28"/>
          <w:szCs w:val="28"/>
        </w:rPr>
        <w:t>., 1975), выраженность постинтоксикационной астении – по методике, предложенной Абрамовой Т.А. (2006). Для оценки эффективности проводимой терапии использовали шкалу общего клинического впечатления (</w:t>
      </w:r>
      <w:r>
        <w:rPr>
          <w:rFonts w:ascii="Times New Roman" w:hAnsi="Times New Roman" w:cs="Times New Roman"/>
          <w:sz w:val="28"/>
          <w:szCs w:val="28"/>
          <w:lang w:val="en-US"/>
        </w:rPr>
        <w:t>CGI</w:t>
      </w:r>
      <w:r>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w:t>
      </w:r>
      <w:r>
        <w:rPr>
          <w:rFonts w:ascii="Times New Roman" w:hAnsi="Times New Roman" w:cs="Times New Roman"/>
          <w:color w:val="333333"/>
          <w:sz w:val="28"/>
          <w:szCs w:val="28"/>
          <w:shd w:val="clear" w:color="auto" w:fill="FFFFFF"/>
        </w:rPr>
        <w:t>Guy W., 1976</w:t>
      </w:r>
      <w:r>
        <w:rPr>
          <w:rFonts w:ascii="Times New Roman" w:hAnsi="Times New Roman" w:cs="Times New Roman"/>
          <w:sz w:val="28"/>
          <w:szCs w:val="28"/>
        </w:rPr>
        <w:t xml:space="preserve">). Лабораторная диагностика включала оценку аммиака в капиллярной крови </w:t>
      </w:r>
      <w:r>
        <w:rPr>
          <w:rFonts w:ascii="Times New Roman" w:hAnsi="Times New Roman" w:cs="Times New Roman"/>
          <w:color w:val="000000"/>
          <w:spacing w:val="-5"/>
          <w:sz w:val="28"/>
          <w:szCs w:val="28"/>
        </w:rPr>
        <w:t xml:space="preserve">с помощью портативного прибора PocketChem BA </w:t>
      </w:r>
      <w:r>
        <w:rPr>
          <w:rFonts w:ascii="Times New Roman" w:hAnsi="Times New Roman" w:cs="Times New Roman"/>
          <w:color w:val="000000"/>
          <w:spacing w:val="-5"/>
          <w:sz w:val="28"/>
          <w:szCs w:val="28"/>
          <w:lang w:val="en-US"/>
        </w:rPr>
        <w:t>PA</w:t>
      </w:r>
      <w:r>
        <w:rPr>
          <w:rFonts w:ascii="Times New Roman" w:hAnsi="Times New Roman" w:cs="Times New Roman"/>
          <w:color w:val="000000"/>
          <w:spacing w:val="-5"/>
          <w:sz w:val="28"/>
          <w:szCs w:val="28"/>
        </w:rPr>
        <w:t>-4140 (</w:t>
      </w:r>
      <w:r>
        <w:rPr>
          <w:rFonts w:ascii="Times New Roman" w:hAnsi="Times New Roman" w:cs="Times New Roman"/>
          <w:color w:val="000000"/>
          <w:spacing w:val="-5"/>
          <w:sz w:val="28"/>
          <w:szCs w:val="28"/>
          <w:lang w:val="en-US"/>
        </w:rPr>
        <w:t>Arkray</w:t>
      </w:r>
      <w:r>
        <w:rPr>
          <w:rFonts w:ascii="Times New Roman" w:hAnsi="Times New Roman" w:cs="Times New Roman"/>
          <w:color w:val="000000"/>
          <w:spacing w:val="-5"/>
          <w:sz w:val="28"/>
          <w:szCs w:val="28"/>
        </w:rPr>
        <w:t xml:space="preserve">, Япония). </w:t>
      </w:r>
      <w:r>
        <w:rPr>
          <w:rFonts w:ascii="Times New Roman" w:hAnsi="Times New Roman" w:cs="Times New Roman"/>
          <w:color w:val="000000" w:themeColor="text1"/>
          <w:sz w:val="28"/>
          <w:szCs w:val="28"/>
        </w:rPr>
        <w:t>Для проведения б</w:t>
      </w:r>
      <w:r>
        <w:rPr>
          <w:rFonts w:ascii="Times New Roman" w:hAnsi="Times New Roman" w:cs="Times New Roman"/>
          <w:color w:val="000000" w:themeColor="text1"/>
          <w:spacing w:val="-5"/>
          <w:sz w:val="28"/>
          <w:szCs w:val="28"/>
        </w:rPr>
        <w:t>иохимического анализа крови использовался биохимический модуль С</w:t>
      </w:r>
      <w:r>
        <w:rPr>
          <w:rFonts w:ascii="Times New Roman" w:hAnsi="Times New Roman" w:cs="Times New Roman"/>
          <w:color w:val="000000" w:themeColor="text1"/>
          <w:spacing w:val="-5"/>
          <w:sz w:val="28"/>
          <w:szCs w:val="28"/>
          <w:lang w:val="en-US"/>
        </w:rPr>
        <w:t>obas</w:t>
      </w:r>
      <w:r>
        <w:rPr>
          <w:rFonts w:ascii="Times New Roman" w:hAnsi="Times New Roman" w:cs="Times New Roman"/>
          <w:color w:val="000000" w:themeColor="text1"/>
          <w:spacing w:val="-5"/>
          <w:sz w:val="28"/>
          <w:szCs w:val="28"/>
        </w:rPr>
        <w:t xml:space="preserve"> </w:t>
      </w:r>
      <w:r>
        <w:rPr>
          <w:rFonts w:ascii="Times New Roman" w:hAnsi="Times New Roman" w:cs="Times New Roman"/>
          <w:color w:val="000000" w:themeColor="text1"/>
          <w:spacing w:val="-5"/>
          <w:sz w:val="28"/>
          <w:szCs w:val="28"/>
          <w:lang w:val="en-US"/>
        </w:rPr>
        <w:t>C</w:t>
      </w:r>
      <w:r>
        <w:rPr>
          <w:rFonts w:ascii="Times New Roman" w:hAnsi="Times New Roman" w:cs="Times New Roman"/>
          <w:color w:val="000000" w:themeColor="text1"/>
          <w:spacing w:val="-5"/>
          <w:sz w:val="28"/>
          <w:szCs w:val="28"/>
        </w:rPr>
        <w:t xml:space="preserve"> 501 (</w:t>
      </w:r>
      <w:r>
        <w:rPr>
          <w:rFonts w:ascii="Times New Roman" w:hAnsi="Times New Roman" w:cs="Times New Roman"/>
          <w:color w:val="000000" w:themeColor="text1"/>
          <w:spacing w:val="-5"/>
          <w:sz w:val="28"/>
          <w:szCs w:val="28"/>
          <w:lang w:val="en-US"/>
        </w:rPr>
        <w:t>Roche</w:t>
      </w:r>
      <w:r>
        <w:rPr>
          <w:rFonts w:ascii="Times New Roman" w:hAnsi="Times New Roman" w:cs="Times New Roman"/>
          <w:color w:val="000000" w:themeColor="text1"/>
          <w:spacing w:val="-5"/>
          <w:sz w:val="28"/>
          <w:szCs w:val="28"/>
        </w:rPr>
        <w:t xml:space="preserve">, Германия). </w:t>
      </w:r>
      <w:r>
        <w:rPr>
          <w:rFonts w:ascii="Times New Roman" w:hAnsi="Times New Roman" w:cs="Times New Roman"/>
          <w:sz w:val="28"/>
          <w:szCs w:val="28"/>
        </w:rPr>
        <w:t>Н</w:t>
      </w:r>
      <w:r>
        <w:rPr>
          <w:rFonts w:ascii="Times New Roman" w:eastAsia="Calibri" w:hAnsi="Times New Roman" w:cs="Times New Roman"/>
          <w:sz w:val="28"/>
          <w:szCs w:val="28"/>
        </w:rPr>
        <w:t xml:space="preserve">аличие ГОМК в биологических средах </w:t>
      </w:r>
      <w:r>
        <w:rPr>
          <w:rFonts w:ascii="Times New Roman" w:hAnsi="Times New Roman" w:cs="Times New Roman"/>
          <w:sz w:val="28"/>
          <w:szCs w:val="28"/>
        </w:rPr>
        <w:t xml:space="preserve">при поступлении больных в ОРИТ оценивали </w:t>
      </w:r>
      <w:r>
        <w:rPr>
          <w:rFonts w:ascii="Times New Roman" w:eastAsia="Calibri" w:hAnsi="Times New Roman" w:cs="Times New Roman"/>
          <w:sz w:val="28"/>
          <w:szCs w:val="28"/>
        </w:rPr>
        <w:t xml:space="preserve">по данным газового хроматографа с масс-спектрометрическим детектором </w:t>
      </w:r>
      <w:r>
        <w:rPr>
          <w:rFonts w:ascii="Times New Roman" w:eastAsia="Calibri" w:hAnsi="Times New Roman" w:cs="Times New Roman"/>
          <w:sz w:val="28"/>
          <w:szCs w:val="28"/>
          <w:lang w:val="en-US"/>
        </w:rPr>
        <w:t>GCMS</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QP</w:t>
      </w:r>
      <w:r>
        <w:rPr>
          <w:rFonts w:ascii="Times New Roman" w:eastAsia="Calibri" w:hAnsi="Times New Roman" w:cs="Times New Roman"/>
          <w:sz w:val="28"/>
          <w:szCs w:val="28"/>
        </w:rPr>
        <w:t xml:space="preserve">2010 </w:t>
      </w:r>
      <w:r>
        <w:rPr>
          <w:rFonts w:ascii="Times New Roman" w:eastAsia="Calibri" w:hAnsi="Times New Roman" w:cs="Times New Roman"/>
          <w:sz w:val="28"/>
          <w:szCs w:val="28"/>
          <w:lang w:val="en-US"/>
        </w:rPr>
        <w:t>SE</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Shimadzu</w:t>
      </w:r>
      <w:r>
        <w:rPr>
          <w:rFonts w:ascii="Times New Roman" w:eastAsia="Calibri" w:hAnsi="Times New Roman" w:cs="Times New Roman"/>
          <w:sz w:val="28"/>
          <w:szCs w:val="28"/>
        </w:rPr>
        <w:t>,</w:t>
      </w:r>
      <w:r>
        <w:rPr>
          <w:rFonts w:ascii="Times New Roman" w:hAnsi="Times New Roman" w:cs="Times New Roman"/>
          <w:sz w:val="28"/>
          <w:szCs w:val="28"/>
        </w:rPr>
        <w:t xml:space="preserve"> Япония).</w:t>
      </w:r>
    </w:p>
    <w:p>
      <w:pPr>
        <w:suppressAutoHyphens/>
        <w:spacing w:after="0" w:line="36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Контрольные осмотры пациентов осуществлялись с 1-го дня лечения, далее на 3-е, 5-е, 7-е сутки.</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Статистическую обработку полученных результатов осуществляли в программе </w:t>
      </w:r>
      <w:r>
        <w:rPr>
          <w:rFonts w:ascii="Times New Roman" w:hAnsi="Times New Roman" w:cs="Times New Roman"/>
          <w:color w:val="000000" w:themeColor="text1"/>
          <w:sz w:val="28"/>
          <w:szCs w:val="28"/>
          <w:lang w:val="en-US"/>
        </w:rPr>
        <w:t>Statistica</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for</w:t>
      </w:r>
      <w:r>
        <w:rPr>
          <w:rFonts w:ascii="Times New Roman" w:hAnsi="Times New Roman" w:cs="Times New Roman"/>
          <w:color w:val="000000"/>
          <w:sz w:val="28"/>
          <w:szCs w:val="28"/>
        </w:rPr>
        <w:t xml:space="preserve"> Windows (версия 10).</w:t>
      </w:r>
      <w:r>
        <w:rPr>
          <w:rFonts w:ascii="Times New Roman" w:hAnsi="Times New Roman" w:cs="Times New Roman"/>
          <w:sz w:val="28"/>
          <w:szCs w:val="28"/>
        </w:rPr>
        <w:t xml:space="preserve"> Данные были представлены в виде медианы (М</w:t>
      </w:r>
      <w:r>
        <w:rPr>
          <w:rFonts w:ascii="Times New Roman" w:hAnsi="Times New Roman" w:cs="Times New Roman"/>
          <w:sz w:val="28"/>
          <w:szCs w:val="28"/>
          <w:lang w:val="en-US"/>
        </w:rPr>
        <w:t>e</w:t>
      </w:r>
      <w:r>
        <w:rPr>
          <w:rFonts w:ascii="Times New Roman" w:hAnsi="Times New Roman" w:cs="Times New Roman"/>
          <w:sz w:val="28"/>
          <w:szCs w:val="28"/>
        </w:rPr>
        <w:t>), 25; 75 перцентилей [</w:t>
      </w:r>
      <w:r>
        <w:rPr>
          <w:rFonts w:ascii="Times New Roman" w:hAnsi="Times New Roman" w:cs="Times New Roman"/>
          <w:sz w:val="28"/>
          <w:szCs w:val="28"/>
          <w:lang w:val="en-US"/>
        </w:rPr>
        <w:t>Q</w:t>
      </w:r>
      <w:r>
        <w:rPr>
          <w:rFonts w:ascii="Times New Roman" w:hAnsi="Times New Roman" w:cs="Times New Roman"/>
          <w:sz w:val="28"/>
          <w:szCs w:val="28"/>
        </w:rPr>
        <w:t xml:space="preserve">25; </w:t>
      </w:r>
      <w:r>
        <w:rPr>
          <w:rFonts w:ascii="Times New Roman" w:hAnsi="Times New Roman" w:cs="Times New Roman"/>
          <w:sz w:val="28"/>
          <w:szCs w:val="28"/>
          <w:lang w:val="en-US"/>
        </w:rPr>
        <w:t>Q</w:t>
      </w:r>
      <w:r>
        <w:rPr>
          <w:rFonts w:ascii="Times New Roman" w:hAnsi="Times New Roman" w:cs="Times New Roman"/>
          <w:sz w:val="28"/>
          <w:szCs w:val="28"/>
        </w:rPr>
        <w:t>75] и средних величин</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M</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SD</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shd w:val="clear" w:color="auto" w:fill="FFFFFF"/>
        </w:rPr>
        <w:t xml:space="preserve">ля изучения динамики изменений параметров внутри групп </w:t>
      </w:r>
      <w:r>
        <w:rPr>
          <w:rFonts w:ascii="Times New Roman" w:hAnsi="Times New Roman" w:cs="Times New Roman"/>
          <w:color w:val="000000" w:themeColor="text1"/>
          <w:sz w:val="28"/>
          <w:szCs w:val="28"/>
        </w:rPr>
        <w:t xml:space="preserve">использовали непараметрический метод – критерий </w:t>
      </w:r>
      <w:r>
        <w:rPr>
          <w:rFonts w:ascii="Times New Roman" w:hAnsi="Times New Roman" w:cs="Times New Roman"/>
          <w:color w:val="000000" w:themeColor="text1"/>
          <w:sz w:val="28"/>
          <w:szCs w:val="28"/>
          <w:shd w:val="clear" w:color="auto" w:fill="FFFFFF"/>
        </w:rPr>
        <w:t>Уилкоксона, для проведения межгрупповых сравнений использовали непараметрический критерий – U-критерий Манна-Уитни.</w:t>
      </w:r>
      <w:r>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sz w:val="28"/>
          <w:szCs w:val="28"/>
        </w:rPr>
        <w:t xml:space="preserve">Различия между изучаемыми признаками считали  статистически значимыми, если </w:t>
      </w:r>
      <w:r>
        <w:rPr>
          <w:rFonts w:ascii="Times New Roman" w:eastAsia="Calibri" w:hAnsi="Times New Roman" w:cs="Times New Roman"/>
          <w:color w:val="000000"/>
          <w:sz w:val="28"/>
          <w:szCs w:val="28"/>
          <w:lang w:val="en-US"/>
        </w:rPr>
        <w:t>p</w:t>
      </w:r>
      <w:r>
        <w:rPr>
          <w:rFonts w:ascii="Times New Roman" w:eastAsia="Calibri" w:hAnsi="Times New Roman" w:cs="Times New Roman"/>
          <w:color w:val="000000"/>
          <w:sz w:val="28"/>
          <w:szCs w:val="28"/>
        </w:rPr>
        <w:t xml:space="preserve"> составлял 95 и более процентов (</w:t>
      </w:r>
      <w:r>
        <w:rPr>
          <w:rFonts w:ascii="Times New Roman" w:eastAsia="Calibri" w:hAnsi="Times New Roman" w:cs="Times New Roman"/>
          <w:color w:val="000000"/>
          <w:sz w:val="28"/>
          <w:szCs w:val="28"/>
          <w:lang w:val="en-US"/>
        </w:rPr>
        <w:t>p</w:t>
      </w:r>
      <w:r>
        <w:rPr>
          <w:rFonts w:ascii="Times New Roman" w:eastAsia="Calibri" w:hAnsi="Times New Roman" w:cs="Times New Roman"/>
          <w:color w:val="000000"/>
          <w:sz w:val="28"/>
          <w:szCs w:val="28"/>
        </w:rPr>
        <w:t xml:space="preserve">&lt;0,05).  </w:t>
      </w:r>
      <w:r>
        <w:rPr>
          <w:rFonts w:ascii="Times New Roman" w:hAnsi="Times New Roman" w:cs="Times New Roman"/>
          <w:color w:val="000000" w:themeColor="text1"/>
          <w:sz w:val="28"/>
          <w:szCs w:val="28"/>
        </w:rPr>
        <w:t>Качественные признаки с</w:t>
      </w:r>
      <w:r>
        <w:rPr>
          <w:rFonts w:ascii="Times New Roman" w:hAnsi="Times New Roman" w:cs="Times New Roman"/>
          <w:sz w:val="28"/>
          <w:szCs w:val="28"/>
        </w:rPr>
        <w:t xml:space="preserve">равнивали с помощью </w:t>
      </w:r>
      <w:r>
        <w:rPr>
          <w:rFonts w:ascii="Times New Roman" w:hAnsi="Times New Roman" w:cs="Times New Roman"/>
          <w:color w:val="000000" w:themeColor="text1"/>
          <w:sz w:val="28"/>
          <w:szCs w:val="28"/>
        </w:rPr>
        <w:t>критерия</w:t>
      </w:r>
      <w:r>
        <w:rPr>
          <w:rFonts w:ascii="Times New Roman" w:hAnsi="Times New Roman" w:cs="Times New Roman"/>
          <w:sz w:val="28"/>
          <w:szCs w:val="28"/>
        </w:rPr>
        <w:t xml:space="preserve"> Пирсона Хи-квадрат (χ²) с поправкой на непрерывность.</w:t>
      </w:r>
    </w:p>
    <w:p>
      <w:pPr>
        <w:tabs>
          <w:tab w:val="left" w:pos="567"/>
        </w:tabs>
        <w:suppressAutoHyphens/>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 xml:space="preserve">Исследование </w:t>
      </w:r>
      <w:r>
        <w:rPr>
          <w:rFonts w:ascii="Times New Roman" w:hAnsi="Times New Roman" w:cs="Times New Roman"/>
          <w:color w:val="000000" w:themeColor="text1"/>
          <w:sz w:val="28"/>
          <w:szCs w:val="28"/>
        </w:rPr>
        <w:t>было одобрено локальным Этическим комитетом института (протокол №1 от 07.02.2020 г.).</w:t>
      </w:r>
    </w:p>
    <w:p>
      <w:pPr>
        <w:suppressAutoHyphen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Результаты и обсуждения</w:t>
      </w:r>
    </w:p>
    <w:p>
      <w:pPr>
        <w:tabs>
          <w:tab w:val="left" w:pos="567"/>
        </w:tabs>
        <w:suppressAutoHyphens/>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момент поступления в стационар больные находились в состоянии выключенного сознания до уровня кома </w:t>
      </w:r>
      <w:r>
        <w:rPr>
          <w:rFonts w:ascii="Times New Roman" w:hAnsi="Times New Roman" w:cs="Times New Roman"/>
          <w:sz w:val="28"/>
          <w:szCs w:val="28"/>
          <w:lang w:val="en-US"/>
        </w:rPr>
        <w:t>I</w:t>
      </w:r>
      <w:r>
        <w:rPr>
          <w:rFonts w:ascii="Times New Roman" w:hAnsi="Times New Roman" w:cs="Times New Roman"/>
          <w:sz w:val="28"/>
          <w:szCs w:val="28"/>
        </w:rPr>
        <w:t xml:space="preserve"> – в 11,8% (7) случаях, сопора – в 42,3% (25), оглушения с психомоторным возбуждением – в 45,7% (27) случаях.</w:t>
      </w:r>
      <w:r>
        <w:rPr>
          <w:rFonts w:ascii="Times New Roman" w:hAnsi="Times New Roman" w:cs="Times New Roman"/>
          <w:iCs/>
          <w:color w:val="000000"/>
          <w:sz w:val="28"/>
          <w:szCs w:val="28"/>
        </w:rPr>
        <w:t xml:space="preserve"> При поступлении п</w:t>
      </w:r>
      <w:r>
        <w:rPr>
          <w:rFonts w:ascii="Times New Roman" w:hAnsi="Times New Roman" w:cs="Times New Roman"/>
          <w:color w:val="000000"/>
          <w:sz w:val="28"/>
          <w:szCs w:val="28"/>
        </w:rPr>
        <w:t xml:space="preserve">о данным химико-токсикологического исследования (ХТИ) в биологических средах больных в 38,9% (23) случаях, кроме ГОМК, </w:t>
      </w:r>
      <w:r>
        <w:rPr>
          <w:rFonts w:ascii="Times New Roman" w:hAnsi="Times New Roman" w:cs="Times New Roman"/>
          <w:color w:val="000000"/>
          <w:sz w:val="28"/>
          <w:szCs w:val="28"/>
        </w:rPr>
        <w:lastRenderedPageBreak/>
        <w:t>определялись: т</w:t>
      </w:r>
      <w:r>
        <w:rPr>
          <w:rFonts w:ascii="Times New Roman" w:eastAsia="Times New Roman" w:hAnsi="Times New Roman" w:cs="Times New Roman"/>
          <w:color w:val="000000"/>
          <w:kern w:val="36"/>
          <w:sz w:val="28"/>
          <w:szCs w:val="28"/>
          <w:lang w:eastAsia="ru-RU"/>
        </w:rPr>
        <w:t>етрагидроканнабинол – в 12,5% (8); α-пирролидинопентиофенон – 7,8% (5); барбитураты – 7,8% (5); этанол – в 6,25% (4); метадон – 1,56% (1).</w:t>
      </w:r>
    </w:p>
    <w:p>
      <w:pPr>
        <w:tabs>
          <w:tab w:val="left" w:pos="567"/>
        </w:tabs>
        <w:suppressAutoHyphens/>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Первые признаки ДС наблюдали после редукции токсикогенной стадии острого отравления, в среднем через 8,7 ± 1,2 часа от времени поступления пациента в ОРИТ.</w:t>
      </w:r>
    </w:p>
    <w:p>
      <w:pPr>
        <w:tabs>
          <w:tab w:val="left" w:pos="567"/>
        </w:tabs>
        <w:suppressAutoHyphens/>
        <w:autoSpaceDE w:val="0"/>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Тяжесть состояния ДС определялась признаками помрачения сознания и метаболическими нарушениями. Изменения лабораторных показателей и выраженности делирия в ходе проводимого лечения представлены в таблице 1.</w:t>
      </w:r>
    </w:p>
    <w:p>
      <w:pPr>
        <w:tabs>
          <w:tab w:val="left" w:pos="567"/>
        </w:tabs>
        <w:suppressAutoHyphens/>
        <w:autoSpaceDE w:val="0"/>
        <w:spacing w:after="0" w:line="36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Как видно из таблицы 1, в период первых трех суток, интенсивность ДС была максимальной с особенной выразительностью в период 3-х суток. Клиническая картина определялась психомоторным возбуждением, галлюцинаторными переживаниями, выраженными сомато-вегетативными нарушениями, дезориентировкой в пространстве и во времени. Контакт с больными носил малопродуктивный характер, поведение определялось выраженностью психотической симптоматики. Преобладали зрительные и слуховые сценоподобные галлюцинаторные образы, устрашающего, преследующего содержания, часто меняющие свою интенсивность и побуждающие больных к активным попыткам сопротивления и противодействия их влиянию. Обращали на себя внимание отсутствие люцидных окон и суточных колебаний делириозной психотической симптоматики. Двигательное беспокойство отличалось постоянным характером, препятствующим выполнению медицинских манипуляций. Больные вследствие выраженной психотической симптоматики нуждались в ограничительных мероприятиях, а для выполнения сложных диагностических исследований в </w:t>
      </w:r>
      <w:r>
        <w:rPr>
          <w:rFonts w:ascii="Times New Roman" w:hAnsi="Times New Roman" w:cs="Times New Roman"/>
          <w:color w:val="000000" w:themeColor="text1"/>
          <w:sz w:val="28"/>
          <w:szCs w:val="28"/>
          <w:shd w:val="clear" w:color="auto" w:fill="FFFFFF"/>
        </w:rPr>
        <w:t>седации пропофолом.</w:t>
      </w:r>
    </w:p>
    <w:p>
      <w:pPr>
        <w:tabs>
          <w:tab w:val="left" w:pos="567"/>
        </w:tabs>
        <w:suppressAutoHyphens/>
        <w:autoSpaceDE w:val="0"/>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В рамках </w:t>
      </w:r>
      <w:r>
        <w:rPr>
          <w:rFonts w:ascii="Times New Roman" w:hAnsi="Times New Roman" w:cs="Times New Roman"/>
          <w:color w:val="000000" w:themeColor="text1"/>
          <w:sz w:val="28"/>
          <w:szCs w:val="28"/>
        </w:rPr>
        <w:t>симпато-адреналового синдрома диагностировали гипертермию до 37,4 ± 1,3 °С, тахикардию до 115,2 ± 3,6 ударов в минуту, артериальную гипертензию до средних значений артериального давления – 119,7 ± 6,2 мм рт. ст., тахипное до 24,3 ± 2,9 в минуту.</w:t>
      </w:r>
    </w:p>
    <w:p>
      <w:pPr>
        <w:tabs>
          <w:tab w:val="left" w:pos="567"/>
        </w:tabs>
        <w:suppressAutoHyphens/>
        <w:autoSpaceDE w:val="0"/>
        <w:spacing w:after="0" w:line="360" w:lineRule="auto"/>
        <w:ind w:firstLine="567"/>
        <w:jc w:val="right"/>
        <w:rPr>
          <w:rFonts w:ascii="Times New Roman" w:hAnsi="Times New Roman" w:cs="Times New Roman"/>
          <w:sz w:val="28"/>
          <w:szCs w:val="28"/>
        </w:rPr>
      </w:pPr>
    </w:p>
    <w:p>
      <w:pPr>
        <w:tabs>
          <w:tab w:val="left" w:pos="567"/>
        </w:tabs>
        <w:suppressAutoHyphens/>
        <w:autoSpaceDE w:val="0"/>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Изменения лабораторных показателей и выраженности ДС у больных с ОТО 1,4-БД в ходе лечения</w:t>
      </w:r>
    </w:p>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9"/>
        <w:gridCol w:w="1066"/>
        <w:gridCol w:w="1910"/>
        <w:gridCol w:w="1701"/>
        <w:gridCol w:w="1701"/>
        <w:gridCol w:w="1679"/>
      </w:tblGrid>
      <w:tr>
        <w:trPr>
          <w:trHeight w:val="390"/>
          <w:jc w:val="center"/>
        </w:trPr>
        <w:tc>
          <w:tcPr>
            <w:tcW w:w="1539" w:type="dxa"/>
            <w:vMerge w:val="restart"/>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Показатели, единицы измерения</w:t>
            </w:r>
          </w:p>
        </w:tc>
        <w:tc>
          <w:tcPr>
            <w:tcW w:w="1066" w:type="dxa"/>
            <w:vMerge w:val="restart"/>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Г</w:t>
            </w:r>
          </w:p>
        </w:tc>
        <w:tc>
          <w:tcPr>
            <w:tcW w:w="6991" w:type="dxa"/>
            <w:gridSpan w:val="4"/>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Дни лечения</w:t>
            </w:r>
          </w:p>
        </w:tc>
      </w:tr>
      <w:tr>
        <w:trPr>
          <w:trHeight w:val="553"/>
          <w:jc w:val="center"/>
        </w:trPr>
        <w:tc>
          <w:tcPr>
            <w:tcW w:w="1539" w:type="dxa"/>
            <w:vMerge/>
          </w:tcPr>
          <w:p>
            <w:pPr>
              <w:suppressAutoHyphens/>
              <w:spacing w:after="0" w:line="240" w:lineRule="auto"/>
              <w:jc w:val="center"/>
              <w:rPr>
                <w:rFonts w:ascii="Times New Roman" w:hAnsi="Times New Roman" w:cs="Times New Roman"/>
                <w:sz w:val="18"/>
                <w:szCs w:val="18"/>
              </w:rPr>
            </w:pPr>
          </w:p>
        </w:tc>
        <w:tc>
          <w:tcPr>
            <w:tcW w:w="1066" w:type="dxa"/>
            <w:vMerge/>
          </w:tcPr>
          <w:p>
            <w:pPr>
              <w:suppressAutoHyphens/>
              <w:spacing w:after="0" w:line="240" w:lineRule="auto"/>
              <w:jc w:val="center"/>
              <w:rPr>
                <w:rFonts w:ascii="Times New Roman" w:hAnsi="Times New Roman" w:cs="Times New Roman"/>
                <w:sz w:val="18"/>
                <w:szCs w:val="18"/>
                <w:lang w:val="en-US"/>
              </w:rPr>
            </w:pPr>
          </w:p>
        </w:tc>
        <w:tc>
          <w:tcPr>
            <w:tcW w:w="1910" w:type="dxa"/>
            <w:vAlign w:val="center"/>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1-й</w:t>
            </w:r>
          </w:p>
        </w:tc>
        <w:tc>
          <w:tcPr>
            <w:tcW w:w="1701" w:type="dxa"/>
            <w:vAlign w:val="center"/>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3-й</w:t>
            </w:r>
          </w:p>
        </w:tc>
        <w:tc>
          <w:tcPr>
            <w:tcW w:w="1701" w:type="dxa"/>
            <w:vAlign w:val="center"/>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5-й</w:t>
            </w:r>
          </w:p>
        </w:tc>
        <w:tc>
          <w:tcPr>
            <w:tcW w:w="1679" w:type="dxa"/>
            <w:vAlign w:val="center"/>
          </w:tcPr>
          <w:p>
            <w:pPr>
              <w:suppressAutoHyphens/>
              <w:spacing w:after="0" w:line="240" w:lineRule="auto"/>
              <w:jc w:val="center"/>
              <w:rPr>
                <w:rFonts w:ascii="Times New Roman" w:hAnsi="Times New Roman" w:cs="Times New Roman"/>
                <w:sz w:val="18"/>
                <w:szCs w:val="18"/>
              </w:rPr>
            </w:pPr>
            <w:r>
              <w:rPr>
                <w:rFonts w:ascii="Times New Roman" w:hAnsi="Times New Roman" w:cs="Times New Roman"/>
                <w:sz w:val="18"/>
                <w:szCs w:val="18"/>
              </w:rPr>
              <w:t>7-й</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АСТ, ЕД/л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101,4 </w:t>
            </w:r>
            <w:r>
              <w:rPr>
                <w:rFonts w:ascii="Times New Roman" w:hAnsi="Times New Roman" w:cs="Times New Roman"/>
                <w:sz w:val="18"/>
                <w:szCs w:val="18"/>
                <w:lang w:val="en-US"/>
              </w:rPr>
              <w:t>[</w:t>
            </w:r>
            <w:r>
              <w:rPr>
                <w:rFonts w:ascii="Times New Roman" w:hAnsi="Times New Roman" w:cs="Times New Roman"/>
                <w:sz w:val="18"/>
                <w:szCs w:val="18"/>
              </w:rPr>
              <w:t>51,4</w:t>
            </w:r>
            <w:r>
              <w:rPr>
                <w:rFonts w:ascii="Times New Roman" w:hAnsi="Times New Roman" w:cs="Times New Roman"/>
                <w:sz w:val="18"/>
                <w:szCs w:val="18"/>
                <w:lang w:val="en-US"/>
              </w:rPr>
              <w:t>;</w:t>
            </w:r>
            <w:r>
              <w:rPr>
                <w:rFonts w:ascii="Times New Roman" w:hAnsi="Times New Roman" w:cs="Times New Roman"/>
                <w:sz w:val="18"/>
                <w:szCs w:val="18"/>
              </w:rPr>
              <w:t xml:space="preserve"> 160,3</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98,9 </w:t>
            </w:r>
            <w:r>
              <w:rPr>
                <w:rFonts w:ascii="Times New Roman" w:hAnsi="Times New Roman" w:cs="Times New Roman"/>
                <w:sz w:val="18"/>
                <w:szCs w:val="18"/>
                <w:lang w:val="en-US"/>
              </w:rPr>
              <w:t>[</w:t>
            </w:r>
            <w:r>
              <w:rPr>
                <w:rFonts w:ascii="Times New Roman" w:hAnsi="Times New Roman" w:cs="Times New Roman"/>
                <w:sz w:val="18"/>
                <w:szCs w:val="18"/>
              </w:rPr>
              <w:t>52,2</w:t>
            </w:r>
            <w:r>
              <w:rPr>
                <w:rFonts w:ascii="Times New Roman" w:hAnsi="Times New Roman" w:cs="Times New Roman"/>
                <w:sz w:val="18"/>
                <w:szCs w:val="18"/>
                <w:lang w:val="en-US"/>
              </w:rPr>
              <w:t>;</w:t>
            </w:r>
            <w:r>
              <w:rPr>
                <w:rFonts w:ascii="Times New Roman" w:hAnsi="Times New Roman" w:cs="Times New Roman"/>
                <w:sz w:val="18"/>
                <w:szCs w:val="18"/>
              </w:rPr>
              <w:t xml:space="preserve"> 138,6</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86,2 </w:t>
            </w:r>
            <w:r>
              <w:rPr>
                <w:rFonts w:ascii="Times New Roman" w:hAnsi="Times New Roman" w:cs="Times New Roman"/>
                <w:sz w:val="18"/>
                <w:szCs w:val="18"/>
                <w:lang w:val="en-US"/>
              </w:rPr>
              <w:t>[</w:t>
            </w:r>
            <w:r>
              <w:rPr>
                <w:rFonts w:ascii="Times New Roman" w:hAnsi="Times New Roman" w:cs="Times New Roman"/>
                <w:sz w:val="18"/>
                <w:szCs w:val="18"/>
              </w:rPr>
              <w:t>41,2</w:t>
            </w:r>
            <w:r>
              <w:rPr>
                <w:rFonts w:ascii="Times New Roman" w:hAnsi="Times New Roman" w:cs="Times New Roman"/>
                <w:sz w:val="18"/>
                <w:szCs w:val="18"/>
                <w:lang w:val="en-US"/>
              </w:rPr>
              <w:t>;</w:t>
            </w:r>
            <w:r>
              <w:rPr>
                <w:rFonts w:ascii="Times New Roman" w:hAnsi="Times New Roman" w:cs="Times New Roman"/>
                <w:sz w:val="18"/>
                <w:szCs w:val="18"/>
              </w:rPr>
              <w:t xml:space="preserve"> 112,3</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62,3 </w:t>
            </w:r>
            <w:r>
              <w:rPr>
                <w:rFonts w:ascii="Times New Roman" w:hAnsi="Times New Roman" w:cs="Times New Roman"/>
                <w:sz w:val="18"/>
                <w:szCs w:val="18"/>
                <w:lang w:val="en-US"/>
              </w:rPr>
              <w:t>[</w:t>
            </w:r>
            <w:r>
              <w:rPr>
                <w:rFonts w:ascii="Times New Roman" w:hAnsi="Times New Roman" w:cs="Times New Roman"/>
                <w:sz w:val="18"/>
                <w:szCs w:val="18"/>
              </w:rPr>
              <w:t>33,1</w:t>
            </w:r>
            <w:r>
              <w:rPr>
                <w:rFonts w:ascii="Times New Roman" w:hAnsi="Times New Roman" w:cs="Times New Roman"/>
                <w:sz w:val="18"/>
                <w:szCs w:val="18"/>
                <w:lang w:val="en-US"/>
              </w:rPr>
              <w:t>;</w:t>
            </w:r>
            <w:r>
              <w:rPr>
                <w:rFonts w:ascii="Times New Roman" w:hAnsi="Times New Roman" w:cs="Times New Roman"/>
                <w:sz w:val="18"/>
                <w:szCs w:val="18"/>
              </w:rPr>
              <w:t xml:space="preserve"> 97,4</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r>
      <w:tr>
        <w:trPr>
          <w:trHeight w:val="293"/>
          <w:jc w:val="center"/>
        </w:trPr>
        <w:tc>
          <w:tcPr>
            <w:tcW w:w="1539" w:type="dxa"/>
            <w:vMerge/>
            <w:vAlign w:val="center"/>
          </w:tcPr>
          <w:p>
            <w:pPr>
              <w:suppressAutoHyphens/>
              <w:spacing w:after="0" w:line="240" w:lineRule="auto"/>
              <w:rPr>
                <w:rFonts w:ascii="Times New Roman" w:hAnsi="Times New Roman" w:cs="Times New Roman"/>
                <w:sz w:val="18"/>
                <w:szCs w:val="18"/>
                <w:lang w:val="en-US"/>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95</w:t>
            </w:r>
            <w:r>
              <w:rPr>
                <w:rFonts w:ascii="Times New Roman" w:hAnsi="Times New Roman" w:cs="Times New Roman"/>
                <w:sz w:val="18"/>
                <w:szCs w:val="18"/>
              </w:rPr>
              <w:t>,</w:t>
            </w:r>
            <w:r>
              <w:rPr>
                <w:rFonts w:ascii="Times New Roman" w:hAnsi="Times New Roman" w:cs="Times New Roman"/>
                <w:sz w:val="18"/>
                <w:szCs w:val="18"/>
                <w:lang w:val="en-US"/>
              </w:rPr>
              <w:t>4</w:t>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50,</w:t>
            </w:r>
            <w:r>
              <w:rPr>
                <w:rFonts w:ascii="Times New Roman" w:hAnsi="Times New Roman" w:cs="Times New Roman"/>
                <w:sz w:val="18"/>
                <w:szCs w:val="18"/>
                <w:lang w:val="en-US"/>
              </w:rPr>
              <w:t>4;</w:t>
            </w:r>
            <w:r>
              <w:rPr>
                <w:rFonts w:ascii="Times New Roman" w:hAnsi="Times New Roman" w:cs="Times New Roman"/>
                <w:sz w:val="18"/>
                <w:szCs w:val="18"/>
              </w:rPr>
              <w:t xml:space="preserve"> 177,9</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135,6 </w:t>
            </w:r>
            <w:r>
              <w:rPr>
                <w:rFonts w:ascii="Times New Roman" w:hAnsi="Times New Roman" w:cs="Times New Roman"/>
                <w:sz w:val="18"/>
                <w:szCs w:val="18"/>
                <w:lang w:val="en-US"/>
              </w:rPr>
              <w:t>[</w:t>
            </w:r>
            <w:r>
              <w:rPr>
                <w:rFonts w:ascii="Times New Roman" w:hAnsi="Times New Roman" w:cs="Times New Roman"/>
                <w:sz w:val="18"/>
                <w:szCs w:val="18"/>
              </w:rPr>
              <w:t>80,1</w:t>
            </w:r>
            <w:r>
              <w:rPr>
                <w:rFonts w:ascii="Times New Roman" w:hAnsi="Times New Roman" w:cs="Times New Roman"/>
                <w:sz w:val="18"/>
                <w:szCs w:val="18"/>
                <w:lang w:val="en-US"/>
              </w:rPr>
              <w:t>;</w:t>
            </w:r>
            <w:r>
              <w:rPr>
                <w:rFonts w:ascii="Times New Roman" w:hAnsi="Times New Roman" w:cs="Times New Roman"/>
                <w:sz w:val="18"/>
                <w:szCs w:val="18"/>
              </w:rPr>
              <w:t xml:space="preserve"> 234,6</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123,3 </w:t>
            </w:r>
            <w:r>
              <w:rPr>
                <w:rFonts w:ascii="Times New Roman" w:hAnsi="Times New Roman" w:cs="Times New Roman"/>
                <w:sz w:val="18"/>
                <w:szCs w:val="18"/>
                <w:lang w:val="en-US"/>
              </w:rPr>
              <w:t>[</w:t>
            </w:r>
            <w:r>
              <w:rPr>
                <w:rFonts w:ascii="Times New Roman" w:hAnsi="Times New Roman" w:cs="Times New Roman"/>
                <w:sz w:val="18"/>
                <w:szCs w:val="18"/>
              </w:rPr>
              <w:t>95,6</w:t>
            </w:r>
            <w:r>
              <w:rPr>
                <w:rFonts w:ascii="Times New Roman" w:hAnsi="Times New Roman" w:cs="Times New Roman"/>
                <w:sz w:val="18"/>
                <w:szCs w:val="18"/>
                <w:lang w:val="en-US"/>
              </w:rPr>
              <w:t>;</w:t>
            </w:r>
            <w:r>
              <w:rPr>
                <w:rFonts w:ascii="Times New Roman" w:hAnsi="Times New Roman" w:cs="Times New Roman"/>
                <w:sz w:val="18"/>
                <w:szCs w:val="18"/>
              </w:rPr>
              <w:t xml:space="preserve"> 174,2</w:t>
            </w:r>
            <w:r>
              <w:rPr>
                <w:rFonts w:ascii="Times New Roman" w:hAnsi="Times New Roman" w:cs="Times New Roman"/>
                <w:sz w:val="18"/>
                <w:szCs w:val="18"/>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95,7 </w:t>
            </w:r>
            <w:r>
              <w:rPr>
                <w:rFonts w:ascii="Times New Roman" w:hAnsi="Times New Roman" w:cs="Times New Roman"/>
                <w:sz w:val="18"/>
                <w:szCs w:val="18"/>
                <w:lang w:val="en-US"/>
              </w:rPr>
              <w:t>[</w:t>
            </w:r>
            <w:r>
              <w:rPr>
                <w:rFonts w:ascii="Times New Roman" w:hAnsi="Times New Roman" w:cs="Times New Roman"/>
                <w:sz w:val="18"/>
                <w:szCs w:val="18"/>
              </w:rPr>
              <w:t>73</w:t>
            </w:r>
            <w:r>
              <w:rPr>
                <w:rFonts w:ascii="Times New Roman" w:hAnsi="Times New Roman" w:cs="Times New Roman"/>
                <w:sz w:val="18"/>
                <w:szCs w:val="18"/>
                <w:lang w:val="en-US"/>
              </w:rPr>
              <w:t>;</w:t>
            </w:r>
            <w:r>
              <w:rPr>
                <w:rFonts w:ascii="Times New Roman" w:hAnsi="Times New Roman" w:cs="Times New Roman"/>
                <w:sz w:val="18"/>
                <w:szCs w:val="18"/>
              </w:rPr>
              <w:t xml:space="preserve"> 99,6</w:t>
            </w:r>
            <w:r>
              <w:rPr>
                <w:rFonts w:ascii="Times New Roman" w:hAnsi="Times New Roman" w:cs="Times New Roman"/>
                <w:sz w:val="18"/>
                <w:szCs w:val="18"/>
                <w:lang w:val="en-US"/>
              </w:rPr>
              <w:t>]</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АЛТ</w:t>
            </w:r>
            <w:r>
              <w:rPr>
                <w:rFonts w:ascii="Times New Roman" w:hAnsi="Times New Roman" w:cs="Times New Roman"/>
                <w:sz w:val="18"/>
                <w:szCs w:val="18"/>
                <w:lang w:val="en-US"/>
              </w:rPr>
              <w:t xml:space="preserve">, </w:t>
            </w:r>
            <w:r>
              <w:rPr>
                <w:rFonts w:ascii="Times New Roman" w:hAnsi="Times New Roman" w:cs="Times New Roman"/>
                <w:sz w:val="18"/>
                <w:szCs w:val="18"/>
              </w:rPr>
              <w:t>ЕД</w:t>
            </w:r>
            <w:r>
              <w:rPr>
                <w:rFonts w:ascii="Times New Roman" w:hAnsi="Times New Roman" w:cs="Times New Roman"/>
                <w:sz w:val="18"/>
                <w:szCs w:val="18"/>
                <w:lang w:val="en-US"/>
              </w:rPr>
              <w:t>/</w:t>
            </w:r>
            <w:r>
              <w:rPr>
                <w:rFonts w:ascii="Times New Roman" w:hAnsi="Times New Roman" w:cs="Times New Roman"/>
                <w:sz w:val="18"/>
                <w:szCs w:val="18"/>
              </w:rPr>
              <w:t>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60,8 </w:t>
            </w:r>
            <w:r>
              <w:rPr>
                <w:rFonts w:ascii="Times New Roman" w:hAnsi="Times New Roman" w:cs="Times New Roman"/>
                <w:sz w:val="18"/>
                <w:szCs w:val="18"/>
                <w:lang w:val="en-US"/>
              </w:rPr>
              <w:t>[</w:t>
            </w:r>
            <w:r>
              <w:rPr>
                <w:rFonts w:ascii="Times New Roman" w:hAnsi="Times New Roman" w:cs="Times New Roman"/>
                <w:sz w:val="18"/>
                <w:szCs w:val="18"/>
              </w:rPr>
              <w:t>24,4</w:t>
            </w:r>
            <w:r>
              <w:rPr>
                <w:rFonts w:ascii="Times New Roman" w:hAnsi="Times New Roman" w:cs="Times New Roman"/>
                <w:sz w:val="18"/>
                <w:szCs w:val="18"/>
                <w:lang w:val="en-US"/>
              </w:rPr>
              <w:t>;</w:t>
            </w:r>
            <w:r>
              <w:rPr>
                <w:rFonts w:ascii="Times New Roman" w:hAnsi="Times New Roman" w:cs="Times New Roman"/>
                <w:sz w:val="18"/>
                <w:szCs w:val="18"/>
              </w:rPr>
              <w:t xml:space="preserve"> 120,4</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72,1 </w:t>
            </w:r>
            <w:r>
              <w:rPr>
                <w:rFonts w:ascii="Times New Roman" w:hAnsi="Times New Roman" w:cs="Times New Roman"/>
                <w:sz w:val="18"/>
                <w:szCs w:val="18"/>
                <w:lang w:val="en-US"/>
              </w:rPr>
              <w:t>[</w:t>
            </w:r>
            <w:r>
              <w:rPr>
                <w:rFonts w:ascii="Times New Roman" w:hAnsi="Times New Roman" w:cs="Times New Roman"/>
                <w:sz w:val="18"/>
                <w:szCs w:val="18"/>
              </w:rPr>
              <w:t>31,7</w:t>
            </w:r>
            <w:r>
              <w:rPr>
                <w:rFonts w:ascii="Times New Roman" w:hAnsi="Times New Roman" w:cs="Times New Roman"/>
                <w:sz w:val="18"/>
                <w:szCs w:val="18"/>
                <w:lang w:val="en-US"/>
              </w:rPr>
              <w:t>;</w:t>
            </w:r>
            <w:r>
              <w:rPr>
                <w:rFonts w:ascii="Times New Roman" w:hAnsi="Times New Roman" w:cs="Times New Roman"/>
                <w:sz w:val="18"/>
                <w:szCs w:val="18"/>
              </w:rPr>
              <w:t xml:space="preserve"> 107,2</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41,1 </w:t>
            </w:r>
            <w:r>
              <w:rPr>
                <w:rFonts w:ascii="Times New Roman" w:hAnsi="Times New Roman" w:cs="Times New Roman"/>
                <w:sz w:val="18"/>
                <w:szCs w:val="18"/>
                <w:lang w:val="en-US"/>
              </w:rPr>
              <w:t>[</w:t>
            </w:r>
            <w:r>
              <w:rPr>
                <w:rFonts w:ascii="Times New Roman" w:hAnsi="Times New Roman" w:cs="Times New Roman"/>
                <w:sz w:val="18"/>
                <w:szCs w:val="18"/>
              </w:rPr>
              <w:t>26,6</w:t>
            </w:r>
            <w:r>
              <w:rPr>
                <w:rFonts w:ascii="Times New Roman" w:hAnsi="Times New Roman" w:cs="Times New Roman"/>
                <w:sz w:val="18"/>
                <w:szCs w:val="18"/>
                <w:lang w:val="en-US"/>
              </w:rPr>
              <w:t>;</w:t>
            </w:r>
            <w:r>
              <w:rPr>
                <w:rFonts w:ascii="Times New Roman" w:hAnsi="Times New Roman" w:cs="Times New Roman"/>
                <w:sz w:val="18"/>
                <w:szCs w:val="18"/>
              </w:rPr>
              <w:t xml:space="preserve"> 60,8</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35,5 </w:t>
            </w:r>
            <w:r>
              <w:rPr>
                <w:rFonts w:ascii="Times New Roman" w:hAnsi="Times New Roman" w:cs="Times New Roman"/>
                <w:sz w:val="18"/>
                <w:szCs w:val="18"/>
                <w:lang w:val="en-US"/>
              </w:rPr>
              <w:t>[</w:t>
            </w:r>
            <w:r>
              <w:rPr>
                <w:rFonts w:ascii="Times New Roman" w:hAnsi="Times New Roman" w:cs="Times New Roman"/>
                <w:sz w:val="18"/>
                <w:szCs w:val="18"/>
              </w:rPr>
              <w:t>24,9</w:t>
            </w:r>
            <w:r>
              <w:rPr>
                <w:rFonts w:ascii="Times New Roman" w:hAnsi="Times New Roman" w:cs="Times New Roman"/>
                <w:sz w:val="18"/>
                <w:szCs w:val="18"/>
                <w:lang w:val="en-US"/>
              </w:rPr>
              <w:t>;</w:t>
            </w:r>
            <w:r>
              <w:rPr>
                <w:rFonts w:ascii="Times New Roman" w:hAnsi="Times New Roman" w:cs="Times New Roman"/>
                <w:sz w:val="18"/>
                <w:szCs w:val="18"/>
              </w:rPr>
              <w:t xml:space="preserve"> 53,6</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r>
      <w:tr>
        <w:trPr>
          <w:trHeight w:val="293"/>
          <w:jc w:val="center"/>
        </w:trPr>
        <w:tc>
          <w:tcPr>
            <w:tcW w:w="1539" w:type="dxa"/>
            <w:vMerge/>
            <w:vAlign w:val="center"/>
          </w:tcPr>
          <w:p>
            <w:pPr>
              <w:suppressAutoHyphens/>
              <w:spacing w:after="0" w:line="240" w:lineRule="auto"/>
              <w:rPr>
                <w:rFonts w:ascii="Times New Roman" w:hAnsi="Times New Roman" w:cs="Times New Roman"/>
                <w:sz w:val="18"/>
                <w:szCs w:val="18"/>
                <w:lang w:val="en-US"/>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63,5 </w:t>
            </w:r>
            <w:r>
              <w:rPr>
                <w:rFonts w:ascii="Times New Roman" w:hAnsi="Times New Roman" w:cs="Times New Roman"/>
                <w:sz w:val="18"/>
                <w:szCs w:val="18"/>
                <w:lang w:val="en-US"/>
              </w:rPr>
              <w:t>[</w:t>
            </w:r>
            <w:r>
              <w:rPr>
                <w:rFonts w:ascii="Times New Roman" w:hAnsi="Times New Roman" w:cs="Times New Roman"/>
                <w:sz w:val="18"/>
                <w:szCs w:val="18"/>
              </w:rPr>
              <w:t>26,2</w:t>
            </w:r>
            <w:r>
              <w:rPr>
                <w:rFonts w:ascii="Times New Roman" w:hAnsi="Times New Roman" w:cs="Times New Roman"/>
                <w:sz w:val="18"/>
                <w:szCs w:val="18"/>
                <w:lang w:val="en-US"/>
              </w:rPr>
              <w:t>;</w:t>
            </w:r>
            <w:r>
              <w:rPr>
                <w:rFonts w:ascii="Times New Roman" w:hAnsi="Times New Roman" w:cs="Times New Roman"/>
                <w:sz w:val="18"/>
                <w:szCs w:val="18"/>
              </w:rPr>
              <w:t xml:space="preserve"> 123,2</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89,9 </w:t>
            </w:r>
            <w:r>
              <w:rPr>
                <w:rFonts w:ascii="Times New Roman" w:hAnsi="Times New Roman" w:cs="Times New Roman"/>
                <w:sz w:val="18"/>
                <w:szCs w:val="18"/>
                <w:lang w:val="en-US"/>
              </w:rPr>
              <w:t>[</w:t>
            </w:r>
            <w:r>
              <w:rPr>
                <w:rFonts w:ascii="Times New Roman" w:hAnsi="Times New Roman" w:cs="Times New Roman"/>
                <w:sz w:val="18"/>
                <w:szCs w:val="18"/>
              </w:rPr>
              <w:t>65,7</w:t>
            </w:r>
            <w:r>
              <w:rPr>
                <w:rFonts w:ascii="Times New Roman" w:hAnsi="Times New Roman" w:cs="Times New Roman"/>
                <w:sz w:val="18"/>
                <w:szCs w:val="18"/>
                <w:lang w:val="en-US"/>
              </w:rPr>
              <w:t>;</w:t>
            </w:r>
            <w:r>
              <w:rPr>
                <w:rFonts w:ascii="Times New Roman" w:hAnsi="Times New Roman" w:cs="Times New Roman"/>
                <w:sz w:val="18"/>
                <w:szCs w:val="18"/>
              </w:rPr>
              <w:t xml:space="preserve"> 123,4</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79,7 </w:t>
            </w:r>
            <w:r>
              <w:rPr>
                <w:rFonts w:ascii="Times New Roman" w:hAnsi="Times New Roman" w:cs="Times New Roman"/>
                <w:sz w:val="18"/>
                <w:szCs w:val="18"/>
                <w:lang w:val="en-US"/>
              </w:rPr>
              <w:t>[</w:t>
            </w:r>
            <w:r>
              <w:rPr>
                <w:rFonts w:ascii="Times New Roman" w:hAnsi="Times New Roman" w:cs="Times New Roman"/>
                <w:sz w:val="18"/>
                <w:szCs w:val="18"/>
              </w:rPr>
              <w:t>45,6</w:t>
            </w:r>
            <w:r>
              <w:rPr>
                <w:rFonts w:ascii="Times New Roman" w:hAnsi="Times New Roman" w:cs="Times New Roman"/>
                <w:sz w:val="18"/>
                <w:szCs w:val="18"/>
                <w:lang w:val="en-US"/>
              </w:rPr>
              <w:t>;</w:t>
            </w:r>
            <w:r>
              <w:rPr>
                <w:rFonts w:ascii="Times New Roman" w:hAnsi="Times New Roman" w:cs="Times New Roman"/>
                <w:sz w:val="18"/>
                <w:szCs w:val="18"/>
              </w:rPr>
              <w:t xml:space="preserve"> 109,3</w:t>
            </w:r>
            <w:r>
              <w:rPr>
                <w:rFonts w:ascii="Times New Roman" w:hAnsi="Times New Roman" w:cs="Times New Roman"/>
                <w:sz w:val="18"/>
                <w:szCs w:val="18"/>
                <w:lang w:val="en-US"/>
              </w:rPr>
              <w:t>]</w:t>
            </w:r>
          </w:p>
        </w:tc>
        <w:tc>
          <w:tcPr>
            <w:tcW w:w="1679"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59,6 </w:t>
            </w:r>
            <w:r>
              <w:rPr>
                <w:rFonts w:ascii="Times New Roman" w:hAnsi="Times New Roman" w:cs="Times New Roman"/>
                <w:sz w:val="18"/>
                <w:szCs w:val="18"/>
                <w:lang w:val="en-US"/>
              </w:rPr>
              <w:t>[</w:t>
            </w:r>
            <w:r>
              <w:rPr>
                <w:rFonts w:ascii="Times New Roman" w:hAnsi="Times New Roman" w:cs="Times New Roman"/>
                <w:sz w:val="18"/>
                <w:szCs w:val="18"/>
              </w:rPr>
              <w:t>36,4</w:t>
            </w:r>
            <w:r>
              <w:rPr>
                <w:rFonts w:ascii="Times New Roman" w:hAnsi="Times New Roman" w:cs="Times New Roman"/>
                <w:sz w:val="18"/>
                <w:szCs w:val="18"/>
                <w:lang w:val="en-US"/>
              </w:rPr>
              <w:t>;</w:t>
            </w:r>
            <w:r>
              <w:rPr>
                <w:rFonts w:ascii="Times New Roman" w:hAnsi="Times New Roman" w:cs="Times New Roman"/>
                <w:sz w:val="18"/>
                <w:szCs w:val="18"/>
              </w:rPr>
              <w:t xml:space="preserve"> 72,5</w:t>
            </w:r>
            <w:r>
              <w:rPr>
                <w:rFonts w:ascii="Times New Roman" w:hAnsi="Times New Roman" w:cs="Times New Roman"/>
                <w:sz w:val="18"/>
                <w:szCs w:val="18"/>
                <w:lang w:val="en-US"/>
              </w:rPr>
              <w:t>]</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МК</w:t>
            </w:r>
            <w:r>
              <w:rPr>
                <w:rFonts w:ascii="Times New Roman" w:hAnsi="Times New Roman" w:cs="Times New Roman"/>
                <w:sz w:val="18"/>
                <w:szCs w:val="18"/>
                <w:lang w:val="en-US"/>
              </w:rPr>
              <w:t xml:space="preserve">, </w:t>
            </w:r>
            <w:r>
              <w:rPr>
                <w:rFonts w:ascii="Times New Roman" w:hAnsi="Times New Roman" w:cs="Times New Roman"/>
                <w:sz w:val="18"/>
                <w:szCs w:val="18"/>
              </w:rPr>
              <w:t>ммоль</w:t>
            </w:r>
            <w:r>
              <w:rPr>
                <w:rFonts w:ascii="Times New Roman" w:hAnsi="Times New Roman" w:cs="Times New Roman"/>
                <w:sz w:val="18"/>
                <w:szCs w:val="18"/>
                <w:lang w:val="en-US"/>
              </w:rPr>
              <w:t>/</w:t>
            </w:r>
            <w:r>
              <w:rPr>
                <w:rFonts w:ascii="Times New Roman" w:hAnsi="Times New Roman" w:cs="Times New Roman"/>
                <w:sz w:val="18"/>
                <w:szCs w:val="18"/>
              </w:rPr>
              <w:t>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5,6</w:t>
            </w:r>
            <w:r>
              <w:rPr>
                <w:rFonts w:ascii="Times New Roman" w:hAnsi="Times New Roman" w:cs="Times New Roman"/>
                <w:sz w:val="18"/>
                <w:szCs w:val="18"/>
              </w:rPr>
              <w:t xml:space="preserve"> </w:t>
            </w:r>
            <w:r>
              <w:rPr>
                <w:rFonts w:ascii="Times New Roman" w:hAnsi="Times New Roman" w:cs="Times New Roman"/>
                <w:sz w:val="18"/>
                <w:szCs w:val="18"/>
                <w:lang w:val="en-US"/>
              </w:rPr>
              <w:t>[4;</w:t>
            </w:r>
            <w:r>
              <w:rPr>
                <w:rFonts w:ascii="Times New Roman" w:hAnsi="Times New Roman" w:cs="Times New Roman"/>
                <w:sz w:val="18"/>
                <w:szCs w:val="18"/>
              </w:rPr>
              <w:t xml:space="preserve"> </w:t>
            </w:r>
            <w:r>
              <w:rPr>
                <w:rFonts w:ascii="Times New Roman" w:hAnsi="Times New Roman" w:cs="Times New Roman"/>
                <w:sz w:val="18"/>
                <w:szCs w:val="18"/>
                <w:lang w:val="en-US"/>
              </w:rPr>
              <w:t>8]</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9</w:t>
            </w:r>
            <w:r>
              <w:rPr>
                <w:rFonts w:ascii="Times New Roman" w:hAnsi="Times New Roman" w:cs="Times New Roman"/>
                <w:sz w:val="18"/>
                <w:szCs w:val="18"/>
              </w:rPr>
              <w:t xml:space="preserve"> </w:t>
            </w:r>
            <w:r>
              <w:rPr>
                <w:rFonts w:ascii="Times New Roman" w:hAnsi="Times New Roman" w:cs="Times New Roman"/>
                <w:sz w:val="18"/>
                <w:szCs w:val="18"/>
                <w:lang w:val="en-US"/>
              </w:rPr>
              <w:t>[8;</w:t>
            </w:r>
            <w:r>
              <w:rPr>
                <w:rFonts w:ascii="Times New Roman" w:hAnsi="Times New Roman" w:cs="Times New Roman"/>
                <w:sz w:val="18"/>
                <w:szCs w:val="18"/>
              </w:rPr>
              <w:t xml:space="preserve"> </w:t>
            </w:r>
            <w:r>
              <w:rPr>
                <w:rFonts w:ascii="Times New Roman" w:hAnsi="Times New Roman" w:cs="Times New Roman"/>
                <w:sz w:val="18"/>
                <w:szCs w:val="18"/>
                <w:lang w:val="en-US"/>
              </w:rPr>
              <w:t>12]</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lang w:val="en-US"/>
              </w:rPr>
              <w:t>8</w:t>
            </w:r>
            <w:r>
              <w:rPr>
                <w:rFonts w:ascii="Times New Roman" w:hAnsi="Times New Roman" w:cs="Times New Roman"/>
                <w:sz w:val="18"/>
                <w:szCs w:val="18"/>
              </w:rPr>
              <w:t xml:space="preserve"> </w:t>
            </w:r>
            <w:r>
              <w:rPr>
                <w:rFonts w:ascii="Times New Roman" w:hAnsi="Times New Roman" w:cs="Times New Roman"/>
                <w:sz w:val="18"/>
                <w:szCs w:val="18"/>
                <w:lang w:val="en-US"/>
              </w:rPr>
              <w:t>[6,2;9]</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5 </w:t>
            </w:r>
            <w:r>
              <w:rPr>
                <w:rFonts w:ascii="Times New Roman" w:hAnsi="Times New Roman" w:cs="Times New Roman"/>
                <w:sz w:val="18"/>
                <w:szCs w:val="18"/>
                <w:lang w:val="en-US"/>
              </w:rPr>
              <w:t>[</w:t>
            </w:r>
            <w:r>
              <w:rPr>
                <w:rFonts w:ascii="Times New Roman" w:hAnsi="Times New Roman" w:cs="Times New Roman"/>
                <w:sz w:val="18"/>
                <w:szCs w:val="18"/>
              </w:rPr>
              <w:t>4,5</w:t>
            </w:r>
            <w:r>
              <w:rPr>
                <w:rFonts w:ascii="Times New Roman" w:hAnsi="Times New Roman" w:cs="Times New Roman"/>
                <w:sz w:val="18"/>
                <w:szCs w:val="18"/>
                <w:lang w:val="en-US"/>
              </w:rPr>
              <w:t>;</w:t>
            </w:r>
            <w:r>
              <w:rPr>
                <w:rFonts w:ascii="Times New Roman" w:hAnsi="Times New Roman" w:cs="Times New Roman"/>
                <w:sz w:val="18"/>
                <w:szCs w:val="18"/>
              </w:rPr>
              <w:t xml:space="preserve"> 7</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r>
      <w:tr>
        <w:trPr>
          <w:trHeight w:val="293"/>
          <w:jc w:val="center"/>
        </w:trPr>
        <w:tc>
          <w:tcPr>
            <w:tcW w:w="1539" w:type="dxa"/>
            <w:vMerge/>
            <w:vAlign w:val="center"/>
          </w:tcPr>
          <w:p>
            <w:pPr>
              <w:suppressAutoHyphens/>
              <w:spacing w:after="0" w:line="240" w:lineRule="auto"/>
              <w:rPr>
                <w:rFonts w:ascii="Times New Roman" w:hAnsi="Times New Roman" w:cs="Times New Roman"/>
                <w:sz w:val="18"/>
                <w:szCs w:val="18"/>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lang w:val="en-US"/>
              </w:rPr>
              <w:t>,5</w:t>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3,8</w:t>
            </w:r>
            <w:r>
              <w:rPr>
                <w:rFonts w:ascii="Times New Roman" w:hAnsi="Times New Roman" w:cs="Times New Roman"/>
                <w:sz w:val="18"/>
                <w:szCs w:val="18"/>
                <w:lang w:val="en-US"/>
              </w:rPr>
              <w:t>;</w:t>
            </w:r>
            <w:r>
              <w:rPr>
                <w:rFonts w:ascii="Times New Roman" w:hAnsi="Times New Roman" w:cs="Times New Roman"/>
                <w:sz w:val="18"/>
                <w:szCs w:val="18"/>
              </w:rPr>
              <w:t xml:space="preserve"> 5,3</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9,6 </w:t>
            </w:r>
            <w:r>
              <w:rPr>
                <w:rFonts w:ascii="Times New Roman" w:hAnsi="Times New Roman" w:cs="Times New Roman"/>
                <w:sz w:val="18"/>
                <w:szCs w:val="18"/>
                <w:lang w:val="en-US"/>
              </w:rPr>
              <w:t>[</w:t>
            </w:r>
            <w:r>
              <w:rPr>
                <w:rFonts w:ascii="Times New Roman" w:hAnsi="Times New Roman" w:cs="Times New Roman"/>
                <w:sz w:val="18"/>
                <w:szCs w:val="18"/>
              </w:rPr>
              <w:t>7</w:t>
            </w:r>
            <w:r>
              <w:rPr>
                <w:rFonts w:ascii="Times New Roman" w:hAnsi="Times New Roman" w:cs="Times New Roman"/>
                <w:sz w:val="18"/>
                <w:szCs w:val="18"/>
                <w:lang w:val="en-US"/>
              </w:rPr>
              <w:t>;</w:t>
            </w:r>
            <w:r>
              <w:rPr>
                <w:rFonts w:ascii="Times New Roman" w:hAnsi="Times New Roman" w:cs="Times New Roman"/>
                <w:sz w:val="18"/>
                <w:szCs w:val="18"/>
              </w:rPr>
              <w:t xml:space="preserve"> 12,6</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9 </w:t>
            </w:r>
            <w:r>
              <w:rPr>
                <w:rFonts w:ascii="Times New Roman" w:hAnsi="Times New Roman" w:cs="Times New Roman"/>
                <w:sz w:val="18"/>
                <w:szCs w:val="18"/>
                <w:lang w:val="en-US"/>
              </w:rPr>
              <w:t>[</w:t>
            </w:r>
            <w:r>
              <w:rPr>
                <w:rFonts w:ascii="Times New Roman" w:hAnsi="Times New Roman" w:cs="Times New Roman"/>
                <w:sz w:val="18"/>
                <w:szCs w:val="18"/>
              </w:rPr>
              <w:t>7</w:t>
            </w:r>
            <w:r>
              <w:rPr>
                <w:rFonts w:ascii="Times New Roman" w:hAnsi="Times New Roman" w:cs="Times New Roman"/>
                <w:sz w:val="18"/>
                <w:szCs w:val="18"/>
                <w:lang w:val="en-US"/>
              </w:rPr>
              <w:t>;</w:t>
            </w:r>
            <w:r>
              <w:rPr>
                <w:rFonts w:ascii="Times New Roman" w:hAnsi="Times New Roman" w:cs="Times New Roman"/>
                <w:sz w:val="18"/>
                <w:szCs w:val="18"/>
              </w:rPr>
              <w:t xml:space="preserve"> 11</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w:t>
            </w:r>
            <w:r>
              <w:rPr>
                <w:rFonts w:ascii="Times New Roman" w:hAnsi="Times New Roman" w:cs="Times New Roman"/>
                <w:sz w:val="18"/>
                <w:szCs w:val="18"/>
                <w:lang w:val="en-US"/>
              </w:rPr>
              <w:t>[</w:t>
            </w:r>
            <w:r>
              <w:rPr>
                <w:rFonts w:ascii="Times New Roman" w:hAnsi="Times New Roman" w:cs="Times New Roman"/>
                <w:sz w:val="18"/>
                <w:szCs w:val="18"/>
              </w:rPr>
              <w:t>5,6</w:t>
            </w:r>
            <w:r>
              <w:rPr>
                <w:rFonts w:ascii="Times New Roman" w:hAnsi="Times New Roman" w:cs="Times New Roman"/>
                <w:sz w:val="18"/>
                <w:szCs w:val="18"/>
                <w:lang w:val="en-US"/>
              </w:rPr>
              <w:t>;</w:t>
            </w:r>
            <w:r>
              <w:rPr>
                <w:rFonts w:ascii="Times New Roman" w:hAnsi="Times New Roman" w:cs="Times New Roman"/>
                <w:sz w:val="18"/>
                <w:szCs w:val="18"/>
              </w:rPr>
              <w:t xml:space="preserve"> 9</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АК, мкмоль/л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70,5</w:t>
            </w:r>
            <w:r>
              <w:rPr>
                <w:rFonts w:ascii="Times New Roman" w:hAnsi="Times New Roman" w:cs="Times New Roman"/>
                <w:sz w:val="18"/>
                <w:szCs w:val="18"/>
              </w:rPr>
              <w:t xml:space="preserve"> </w:t>
            </w:r>
            <w:r>
              <w:rPr>
                <w:rFonts w:ascii="Times New Roman" w:hAnsi="Times New Roman" w:cs="Times New Roman"/>
                <w:sz w:val="18"/>
                <w:szCs w:val="18"/>
                <w:lang w:val="en-US"/>
              </w:rPr>
              <w:t>[66;</w:t>
            </w:r>
            <w:r>
              <w:rPr>
                <w:rFonts w:ascii="Times New Roman" w:hAnsi="Times New Roman" w:cs="Times New Roman"/>
                <w:sz w:val="18"/>
                <w:szCs w:val="18"/>
              </w:rPr>
              <w:t xml:space="preserve"> </w:t>
            </w:r>
            <w:r>
              <w:rPr>
                <w:rFonts w:ascii="Times New Roman" w:hAnsi="Times New Roman" w:cs="Times New Roman"/>
                <w:sz w:val="18"/>
                <w:szCs w:val="18"/>
                <w:lang w:val="en-US"/>
              </w:rPr>
              <w:t>81]</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lang w:val="en-US"/>
              </w:rPr>
              <w:t>98</w:t>
            </w:r>
            <w:r>
              <w:rPr>
                <w:rFonts w:ascii="Times New Roman" w:hAnsi="Times New Roman" w:cs="Times New Roman"/>
                <w:sz w:val="18"/>
                <w:szCs w:val="18"/>
              </w:rPr>
              <w:t xml:space="preserve"> [</w:t>
            </w:r>
            <w:r>
              <w:rPr>
                <w:rFonts w:ascii="Times New Roman" w:hAnsi="Times New Roman" w:cs="Times New Roman"/>
                <w:sz w:val="18"/>
                <w:szCs w:val="18"/>
                <w:lang w:val="en-US"/>
              </w:rPr>
              <w:t>8</w:t>
            </w:r>
            <w:r>
              <w:rPr>
                <w:rFonts w:ascii="Times New Roman" w:hAnsi="Times New Roman" w:cs="Times New Roman"/>
                <w:sz w:val="18"/>
                <w:szCs w:val="18"/>
              </w:rPr>
              <w:t>5</w:t>
            </w:r>
            <w:r>
              <w:rPr>
                <w:rFonts w:ascii="Times New Roman" w:hAnsi="Times New Roman" w:cs="Times New Roman"/>
                <w:sz w:val="18"/>
                <w:szCs w:val="18"/>
                <w:lang w:val="en-US"/>
              </w:rPr>
              <w:t>;</w:t>
            </w:r>
            <w:r>
              <w:rPr>
                <w:rFonts w:ascii="Times New Roman" w:hAnsi="Times New Roman" w:cs="Times New Roman"/>
                <w:sz w:val="18"/>
                <w:szCs w:val="18"/>
              </w:rPr>
              <w:t xml:space="preserve"> </w:t>
            </w:r>
            <w:r>
              <w:rPr>
                <w:rFonts w:ascii="Times New Roman" w:hAnsi="Times New Roman" w:cs="Times New Roman"/>
                <w:sz w:val="18"/>
                <w:szCs w:val="18"/>
                <w:lang w:val="en-US"/>
              </w:rPr>
              <w:t>115</w:t>
            </w:r>
            <w:r>
              <w:rPr>
                <w:rFonts w:ascii="Times New Roman" w:hAnsi="Times New Roman" w:cs="Times New Roman"/>
                <w:sz w:val="18"/>
                <w:szCs w:val="18"/>
              </w:rPr>
              <w:t>]</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lang w:val="en-US"/>
              </w:rPr>
              <w:t>82</w:t>
            </w:r>
            <w:r>
              <w:rPr>
                <w:rFonts w:ascii="Times New Roman" w:hAnsi="Times New Roman" w:cs="Times New Roman"/>
                <w:sz w:val="18"/>
                <w:szCs w:val="18"/>
              </w:rPr>
              <w:t xml:space="preserve"> [</w:t>
            </w:r>
            <w:r>
              <w:rPr>
                <w:rFonts w:ascii="Times New Roman" w:hAnsi="Times New Roman" w:cs="Times New Roman"/>
                <w:sz w:val="18"/>
                <w:szCs w:val="18"/>
                <w:lang w:val="en-US"/>
              </w:rPr>
              <w:t>66;</w:t>
            </w:r>
            <w:r>
              <w:rPr>
                <w:rFonts w:ascii="Times New Roman" w:hAnsi="Times New Roman" w:cs="Times New Roman"/>
                <w:sz w:val="18"/>
                <w:szCs w:val="18"/>
              </w:rPr>
              <w:t xml:space="preserve"> </w:t>
            </w:r>
            <w:r>
              <w:rPr>
                <w:rFonts w:ascii="Times New Roman" w:hAnsi="Times New Roman" w:cs="Times New Roman"/>
                <w:sz w:val="18"/>
                <w:szCs w:val="18"/>
                <w:lang w:val="en-US"/>
              </w:rPr>
              <w:t>87</w:t>
            </w:r>
            <w:r>
              <w:rPr>
                <w:rFonts w:ascii="Times New Roman" w:hAnsi="Times New Roman" w:cs="Times New Roman"/>
                <w:sz w:val="18"/>
                <w:szCs w:val="18"/>
              </w:rPr>
              <w:t>]</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lang w:val="en-US"/>
              </w:rPr>
              <w:t>56</w:t>
            </w:r>
            <w:r>
              <w:rPr>
                <w:rFonts w:ascii="Times New Roman" w:hAnsi="Times New Roman" w:cs="Times New Roman"/>
                <w:sz w:val="18"/>
                <w:szCs w:val="18"/>
              </w:rPr>
              <w:t xml:space="preserve"> [</w:t>
            </w:r>
            <w:r>
              <w:rPr>
                <w:rFonts w:ascii="Times New Roman" w:hAnsi="Times New Roman" w:cs="Times New Roman"/>
                <w:sz w:val="18"/>
                <w:szCs w:val="18"/>
                <w:lang w:val="en-US"/>
              </w:rPr>
              <w:t>29;</w:t>
            </w:r>
            <w:r>
              <w:rPr>
                <w:rFonts w:ascii="Times New Roman" w:hAnsi="Times New Roman" w:cs="Times New Roman"/>
                <w:sz w:val="18"/>
                <w:szCs w:val="18"/>
              </w:rPr>
              <w:t xml:space="preserve"> </w:t>
            </w:r>
            <w:r>
              <w:rPr>
                <w:rFonts w:ascii="Times New Roman" w:hAnsi="Times New Roman" w:cs="Times New Roman"/>
                <w:sz w:val="18"/>
                <w:szCs w:val="18"/>
                <w:lang w:val="en-US"/>
              </w:rPr>
              <w:t>62</w:t>
            </w:r>
            <w:r>
              <w:rPr>
                <w:rFonts w:ascii="Times New Roman" w:hAnsi="Times New Roman" w:cs="Times New Roman"/>
                <w:sz w:val="18"/>
                <w:szCs w:val="18"/>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r>
      <w:tr>
        <w:trPr>
          <w:trHeight w:val="293"/>
          <w:jc w:val="center"/>
        </w:trPr>
        <w:tc>
          <w:tcPr>
            <w:tcW w:w="1539" w:type="dxa"/>
            <w:vMerge/>
            <w:vAlign w:val="center"/>
          </w:tcPr>
          <w:p>
            <w:pPr>
              <w:suppressAutoHyphens/>
              <w:spacing w:after="0" w:line="240" w:lineRule="auto"/>
              <w:rPr>
                <w:rFonts w:ascii="Times New Roman" w:hAnsi="Times New Roman" w:cs="Times New Roman"/>
                <w:sz w:val="18"/>
                <w:szCs w:val="18"/>
                <w:lang w:val="en-US"/>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66</w:t>
            </w:r>
            <w:r>
              <w:rPr>
                <w:rFonts w:ascii="Times New Roman" w:hAnsi="Times New Roman" w:cs="Times New Roman"/>
                <w:sz w:val="18"/>
                <w:szCs w:val="18"/>
              </w:rPr>
              <w:t xml:space="preserve"> </w:t>
            </w:r>
            <w:r>
              <w:rPr>
                <w:rFonts w:ascii="Times New Roman" w:hAnsi="Times New Roman" w:cs="Times New Roman"/>
                <w:sz w:val="18"/>
                <w:szCs w:val="18"/>
                <w:lang w:val="en-US"/>
              </w:rPr>
              <w:t>[65;</w:t>
            </w:r>
            <w:r>
              <w:rPr>
                <w:rFonts w:ascii="Times New Roman" w:hAnsi="Times New Roman" w:cs="Times New Roman"/>
                <w:sz w:val="18"/>
                <w:szCs w:val="18"/>
              </w:rPr>
              <w:t xml:space="preserve"> </w:t>
            </w:r>
            <w:r>
              <w:rPr>
                <w:rFonts w:ascii="Times New Roman" w:hAnsi="Times New Roman" w:cs="Times New Roman"/>
                <w:sz w:val="18"/>
                <w:szCs w:val="18"/>
                <w:lang w:val="en-US"/>
              </w:rPr>
              <w:t>71]</w:t>
            </w:r>
          </w:p>
        </w:tc>
        <w:tc>
          <w:tcPr>
            <w:tcW w:w="1701" w:type="dxa"/>
          </w:tcPr>
          <w:p>
            <w:pPr>
              <w:suppressAutoHyphens/>
              <w:spacing w:after="0" w:line="240" w:lineRule="auto"/>
              <w:rPr>
                <w:rFonts w:ascii="Times New Roman" w:hAnsi="Times New Roman" w:cs="Times New Roman"/>
                <w:i/>
                <w:sz w:val="18"/>
                <w:szCs w:val="18"/>
                <w:lang w:val="en-US"/>
              </w:rPr>
            </w:pPr>
            <w:r>
              <w:rPr>
                <w:rFonts w:ascii="Times New Roman" w:hAnsi="Times New Roman" w:cs="Times New Roman"/>
                <w:sz w:val="18"/>
                <w:szCs w:val="18"/>
                <w:lang w:val="en-US"/>
              </w:rPr>
              <w:t>95</w:t>
            </w:r>
            <w:r>
              <w:rPr>
                <w:rFonts w:ascii="Times New Roman" w:hAnsi="Times New Roman" w:cs="Times New Roman"/>
                <w:sz w:val="18"/>
                <w:szCs w:val="18"/>
              </w:rPr>
              <w:t xml:space="preserve"> </w:t>
            </w:r>
            <w:r>
              <w:rPr>
                <w:rFonts w:ascii="Times New Roman" w:hAnsi="Times New Roman" w:cs="Times New Roman"/>
                <w:sz w:val="18"/>
                <w:szCs w:val="18"/>
                <w:lang w:val="en-US"/>
              </w:rPr>
              <w:t>[69;</w:t>
            </w:r>
            <w:r>
              <w:rPr>
                <w:rFonts w:ascii="Times New Roman" w:hAnsi="Times New Roman" w:cs="Times New Roman"/>
                <w:sz w:val="18"/>
                <w:szCs w:val="18"/>
              </w:rPr>
              <w:t xml:space="preserve"> </w:t>
            </w:r>
            <w:r>
              <w:rPr>
                <w:rFonts w:ascii="Times New Roman" w:hAnsi="Times New Roman" w:cs="Times New Roman"/>
                <w:sz w:val="18"/>
                <w:szCs w:val="18"/>
                <w:lang w:val="en-US"/>
              </w:rPr>
              <w:t>110]</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96,5</w:t>
            </w:r>
            <w:r>
              <w:rPr>
                <w:rFonts w:ascii="Times New Roman" w:hAnsi="Times New Roman" w:cs="Times New Roman"/>
                <w:sz w:val="18"/>
                <w:szCs w:val="18"/>
              </w:rPr>
              <w:t xml:space="preserve"> </w:t>
            </w:r>
            <w:r>
              <w:rPr>
                <w:rFonts w:ascii="Times New Roman" w:hAnsi="Times New Roman" w:cs="Times New Roman"/>
                <w:sz w:val="18"/>
                <w:szCs w:val="18"/>
                <w:lang w:val="en-US"/>
              </w:rPr>
              <w:t>[64;</w:t>
            </w:r>
            <w:r>
              <w:rPr>
                <w:rFonts w:ascii="Times New Roman" w:hAnsi="Times New Roman" w:cs="Times New Roman"/>
                <w:sz w:val="18"/>
                <w:szCs w:val="18"/>
              </w:rPr>
              <w:t xml:space="preserve"> </w:t>
            </w:r>
            <w:r>
              <w:rPr>
                <w:rFonts w:ascii="Times New Roman" w:hAnsi="Times New Roman" w:cs="Times New Roman"/>
                <w:sz w:val="18"/>
                <w:szCs w:val="18"/>
                <w:lang w:val="en-US"/>
              </w:rPr>
              <w:t>105]</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63,5</w:t>
            </w:r>
            <w:r>
              <w:rPr>
                <w:rFonts w:ascii="Times New Roman" w:hAnsi="Times New Roman" w:cs="Times New Roman"/>
                <w:sz w:val="18"/>
                <w:szCs w:val="18"/>
              </w:rPr>
              <w:t xml:space="preserve"> </w:t>
            </w:r>
            <w:r>
              <w:rPr>
                <w:rFonts w:ascii="Times New Roman" w:hAnsi="Times New Roman" w:cs="Times New Roman"/>
                <w:sz w:val="18"/>
                <w:szCs w:val="18"/>
                <w:lang w:val="en-US"/>
              </w:rPr>
              <w:t>[54;</w:t>
            </w:r>
            <w:r>
              <w:rPr>
                <w:rFonts w:ascii="Times New Roman" w:hAnsi="Times New Roman" w:cs="Times New Roman"/>
                <w:sz w:val="18"/>
                <w:szCs w:val="18"/>
              </w:rPr>
              <w:t xml:space="preserve"> </w:t>
            </w:r>
            <w:r>
              <w:rPr>
                <w:rFonts w:ascii="Times New Roman" w:hAnsi="Times New Roman" w:cs="Times New Roman"/>
                <w:sz w:val="18"/>
                <w:szCs w:val="18"/>
                <w:lang w:val="en-US"/>
              </w:rPr>
              <w:t>69]</w:t>
            </w:r>
            <w:r>
              <w:rPr>
                <w:rFonts w:ascii="Times New Roman" w:hAnsi="Times New Roman" w:cs="Times New Roman"/>
                <w:sz w:val="18"/>
                <w:szCs w:val="18"/>
                <w:vertAlign w:val="superscript"/>
                <w:lang w:val="en-US"/>
              </w:rPr>
              <w:t>#</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АБ</w:t>
            </w:r>
            <w:r>
              <w:rPr>
                <w:rFonts w:ascii="Times New Roman" w:hAnsi="Times New Roman" w:cs="Times New Roman"/>
                <w:sz w:val="18"/>
                <w:szCs w:val="18"/>
                <w:lang w:val="en-US"/>
              </w:rPr>
              <w:t xml:space="preserve">, </w:t>
            </w:r>
            <w:r>
              <w:rPr>
                <w:rFonts w:ascii="Times New Roman" w:hAnsi="Times New Roman" w:cs="Times New Roman"/>
                <w:sz w:val="18"/>
                <w:szCs w:val="18"/>
              </w:rPr>
              <w:t>г/л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41,8 </w:t>
            </w:r>
            <w:r>
              <w:rPr>
                <w:rFonts w:ascii="Times New Roman" w:hAnsi="Times New Roman" w:cs="Times New Roman"/>
                <w:sz w:val="18"/>
                <w:szCs w:val="18"/>
                <w:lang w:val="en-US"/>
              </w:rPr>
              <w:t>[</w:t>
            </w:r>
            <w:r>
              <w:rPr>
                <w:rFonts w:ascii="Times New Roman" w:hAnsi="Times New Roman" w:cs="Times New Roman"/>
                <w:sz w:val="18"/>
                <w:szCs w:val="18"/>
              </w:rPr>
              <w:t>41,2</w:t>
            </w:r>
            <w:r>
              <w:rPr>
                <w:rFonts w:ascii="Times New Roman" w:hAnsi="Times New Roman" w:cs="Times New Roman"/>
                <w:sz w:val="18"/>
                <w:szCs w:val="18"/>
                <w:lang w:val="en-US"/>
              </w:rPr>
              <w:t>;</w:t>
            </w:r>
            <w:r>
              <w:rPr>
                <w:rFonts w:ascii="Times New Roman" w:hAnsi="Times New Roman" w:cs="Times New Roman"/>
                <w:sz w:val="18"/>
                <w:szCs w:val="18"/>
              </w:rPr>
              <w:t xml:space="preserve"> 42,9</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41,3 </w:t>
            </w:r>
            <w:r>
              <w:rPr>
                <w:rFonts w:ascii="Times New Roman" w:hAnsi="Times New Roman" w:cs="Times New Roman"/>
                <w:sz w:val="18"/>
                <w:szCs w:val="18"/>
                <w:lang w:val="en-US"/>
              </w:rPr>
              <w:t>[</w:t>
            </w:r>
            <w:r>
              <w:rPr>
                <w:rFonts w:ascii="Times New Roman" w:hAnsi="Times New Roman" w:cs="Times New Roman"/>
                <w:sz w:val="18"/>
                <w:szCs w:val="18"/>
              </w:rPr>
              <w:t>38,9</w:t>
            </w:r>
            <w:r>
              <w:rPr>
                <w:rFonts w:ascii="Times New Roman" w:hAnsi="Times New Roman" w:cs="Times New Roman"/>
                <w:sz w:val="18"/>
                <w:szCs w:val="18"/>
                <w:lang w:val="en-US"/>
              </w:rPr>
              <w:t>;</w:t>
            </w:r>
            <w:r>
              <w:rPr>
                <w:rFonts w:ascii="Times New Roman" w:hAnsi="Times New Roman" w:cs="Times New Roman"/>
                <w:sz w:val="18"/>
                <w:szCs w:val="18"/>
              </w:rPr>
              <w:t xml:space="preserve"> 42,6</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41,2 [38,6</w:t>
            </w:r>
            <w:r>
              <w:rPr>
                <w:rFonts w:ascii="Times New Roman" w:hAnsi="Times New Roman" w:cs="Times New Roman"/>
                <w:sz w:val="18"/>
                <w:szCs w:val="18"/>
                <w:lang w:val="en-US"/>
              </w:rPr>
              <w:t>;</w:t>
            </w:r>
            <w:r>
              <w:rPr>
                <w:rFonts w:ascii="Times New Roman" w:hAnsi="Times New Roman" w:cs="Times New Roman"/>
                <w:sz w:val="18"/>
                <w:szCs w:val="18"/>
              </w:rPr>
              <w:t xml:space="preserve"> 42,1]</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40,4 [39,6</w:t>
            </w:r>
            <w:r>
              <w:rPr>
                <w:rFonts w:ascii="Times New Roman" w:hAnsi="Times New Roman" w:cs="Times New Roman"/>
                <w:sz w:val="18"/>
                <w:szCs w:val="18"/>
                <w:lang w:val="en-US"/>
              </w:rPr>
              <w:t>;</w:t>
            </w:r>
            <w:r>
              <w:rPr>
                <w:rFonts w:ascii="Times New Roman" w:hAnsi="Times New Roman" w:cs="Times New Roman"/>
                <w:sz w:val="18"/>
                <w:szCs w:val="18"/>
              </w:rPr>
              <w:t xml:space="preserve"> 42,9]</w:t>
            </w:r>
          </w:p>
        </w:tc>
      </w:tr>
      <w:tr>
        <w:trPr>
          <w:trHeight w:val="293"/>
          <w:jc w:val="center"/>
        </w:trPr>
        <w:tc>
          <w:tcPr>
            <w:tcW w:w="1539" w:type="dxa"/>
            <w:vMerge/>
            <w:vAlign w:val="center"/>
          </w:tcPr>
          <w:p>
            <w:pPr>
              <w:suppressAutoHyphens/>
              <w:spacing w:after="0" w:line="240" w:lineRule="auto"/>
              <w:rPr>
                <w:rFonts w:ascii="Times New Roman" w:hAnsi="Times New Roman" w:cs="Times New Roman"/>
                <w:sz w:val="18"/>
                <w:szCs w:val="18"/>
                <w:lang w:val="en-US"/>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42,2 </w:t>
            </w:r>
            <w:r>
              <w:rPr>
                <w:rFonts w:ascii="Times New Roman" w:hAnsi="Times New Roman" w:cs="Times New Roman"/>
                <w:sz w:val="18"/>
                <w:szCs w:val="18"/>
                <w:lang w:val="en-US"/>
              </w:rPr>
              <w:t>[</w:t>
            </w:r>
            <w:r>
              <w:rPr>
                <w:rFonts w:ascii="Times New Roman" w:hAnsi="Times New Roman" w:cs="Times New Roman"/>
                <w:sz w:val="18"/>
                <w:szCs w:val="18"/>
              </w:rPr>
              <w:t>41,6</w:t>
            </w:r>
            <w:r>
              <w:rPr>
                <w:rFonts w:ascii="Times New Roman" w:hAnsi="Times New Roman" w:cs="Times New Roman"/>
                <w:sz w:val="18"/>
                <w:szCs w:val="18"/>
                <w:lang w:val="en-US"/>
              </w:rPr>
              <w:t>;</w:t>
            </w:r>
            <w:r>
              <w:rPr>
                <w:rFonts w:ascii="Times New Roman" w:hAnsi="Times New Roman" w:cs="Times New Roman"/>
                <w:sz w:val="18"/>
                <w:szCs w:val="18"/>
              </w:rPr>
              <w:t xml:space="preserve"> 42,5</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41,2 </w:t>
            </w:r>
            <w:r>
              <w:rPr>
                <w:rFonts w:ascii="Times New Roman" w:hAnsi="Times New Roman" w:cs="Times New Roman"/>
                <w:sz w:val="18"/>
                <w:szCs w:val="18"/>
                <w:lang w:val="en-US"/>
              </w:rPr>
              <w:t>[</w:t>
            </w:r>
            <w:r>
              <w:rPr>
                <w:rFonts w:ascii="Times New Roman" w:hAnsi="Times New Roman" w:cs="Times New Roman"/>
                <w:sz w:val="18"/>
                <w:szCs w:val="18"/>
              </w:rPr>
              <w:t>39,6</w:t>
            </w:r>
            <w:r>
              <w:rPr>
                <w:rFonts w:ascii="Times New Roman" w:hAnsi="Times New Roman" w:cs="Times New Roman"/>
                <w:sz w:val="18"/>
                <w:szCs w:val="18"/>
                <w:lang w:val="en-US"/>
              </w:rPr>
              <w:t>;</w:t>
            </w:r>
            <w:r>
              <w:rPr>
                <w:rFonts w:ascii="Times New Roman" w:hAnsi="Times New Roman" w:cs="Times New Roman"/>
                <w:sz w:val="18"/>
                <w:szCs w:val="18"/>
              </w:rPr>
              <w:t xml:space="preserve"> 41,6</w:t>
            </w:r>
            <w:r>
              <w:rPr>
                <w:rFonts w:ascii="Times New Roman" w:hAnsi="Times New Roman" w:cs="Times New Roman"/>
                <w:sz w:val="18"/>
                <w:szCs w:val="18"/>
                <w:lang w:val="en-US"/>
              </w:rPr>
              <w:t>]</w:t>
            </w:r>
          </w:p>
        </w:tc>
        <w:tc>
          <w:tcPr>
            <w:tcW w:w="1701" w:type="dxa"/>
          </w:tcPr>
          <w:p>
            <w:pPr>
              <w:suppressAutoHyphens/>
              <w:spacing w:after="0" w:line="240" w:lineRule="auto"/>
              <w:rPr>
                <w:rFonts w:ascii="Times New Roman" w:eastAsiaTheme="minorEastAsia" w:hAnsi="Times New Roman" w:cs="Times New Roman"/>
                <w:sz w:val="18"/>
                <w:szCs w:val="18"/>
              </w:rPr>
            </w:pPr>
            <w:r>
              <w:rPr>
                <w:rFonts w:ascii="Times New Roman" w:hAnsi="Times New Roman" w:cs="Times New Roman"/>
                <w:sz w:val="18"/>
                <w:szCs w:val="18"/>
              </w:rPr>
              <w:t xml:space="preserve">40 </w:t>
            </w:r>
            <w:r>
              <w:rPr>
                <w:rFonts w:ascii="Times New Roman" w:hAnsi="Times New Roman" w:cs="Times New Roman"/>
                <w:sz w:val="18"/>
                <w:szCs w:val="18"/>
                <w:lang w:val="en-US"/>
              </w:rPr>
              <w:t>[</w:t>
            </w:r>
            <w:r>
              <w:rPr>
                <w:rFonts w:ascii="Times New Roman" w:hAnsi="Times New Roman" w:cs="Times New Roman"/>
                <w:sz w:val="18"/>
                <w:szCs w:val="18"/>
              </w:rPr>
              <w:t>36,9</w:t>
            </w:r>
            <w:r>
              <w:rPr>
                <w:rFonts w:ascii="Times New Roman" w:hAnsi="Times New Roman" w:cs="Times New Roman"/>
                <w:sz w:val="18"/>
                <w:szCs w:val="18"/>
                <w:lang w:val="en-US"/>
              </w:rPr>
              <w:t>;</w:t>
            </w:r>
            <w:r>
              <w:rPr>
                <w:rFonts w:ascii="Times New Roman" w:hAnsi="Times New Roman" w:cs="Times New Roman"/>
                <w:sz w:val="18"/>
                <w:szCs w:val="18"/>
              </w:rPr>
              <w:t xml:space="preserve"> 40,7</w:t>
            </w:r>
            <w:r>
              <w:rPr>
                <w:rFonts w:ascii="Times New Roman" w:hAnsi="Times New Roman" w:cs="Times New Roman"/>
                <w:sz w:val="18"/>
                <w:szCs w:val="18"/>
                <w:lang w:val="en-US"/>
              </w:rPr>
              <w:t>]</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sz w:val="18"/>
                <w:szCs w:val="18"/>
              </w:rPr>
            </w:pPr>
            <w:r>
              <w:rPr>
                <w:rFonts w:ascii="Times New Roman" w:hAnsi="Times New Roman" w:cs="Times New Roman"/>
                <w:sz w:val="18"/>
                <w:szCs w:val="18"/>
              </w:rPr>
              <w:t xml:space="preserve">35,6 </w:t>
            </w:r>
            <w:r>
              <w:rPr>
                <w:rFonts w:ascii="Times New Roman" w:hAnsi="Times New Roman" w:cs="Times New Roman"/>
                <w:sz w:val="18"/>
                <w:szCs w:val="18"/>
                <w:lang w:val="en-US"/>
              </w:rPr>
              <w:t>[</w:t>
            </w:r>
            <w:r>
              <w:rPr>
                <w:rFonts w:ascii="Times New Roman" w:hAnsi="Times New Roman" w:cs="Times New Roman"/>
                <w:sz w:val="18"/>
                <w:szCs w:val="18"/>
              </w:rPr>
              <w:t>35</w:t>
            </w:r>
            <w:r>
              <w:rPr>
                <w:rFonts w:ascii="Times New Roman" w:hAnsi="Times New Roman" w:cs="Times New Roman"/>
                <w:sz w:val="18"/>
                <w:szCs w:val="18"/>
                <w:lang w:val="en-US"/>
              </w:rPr>
              <w:t>;</w:t>
            </w:r>
            <w:r>
              <w:rPr>
                <w:rFonts w:ascii="Times New Roman" w:hAnsi="Times New Roman" w:cs="Times New Roman"/>
                <w:sz w:val="18"/>
                <w:szCs w:val="18"/>
              </w:rPr>
              <w:t xml:space="preserve"> 37,1</w:t>
            </w:r>
            <w:r>
              <w:rPr>
                <w:rFonts w:ascii="Times New Roman" w:hAnsi="Times New Roman" w:cs="Times New Roman"/>
                <w:sz w:val="18"/>
                <w:szCs w:val="18"/>
                <w:lang w:val="en-US"/>
              </w:rPr>
              <w:t>]</w:t>
            </w: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lang w:val="en-US"/>
              </w:rPr>
              <w:t>^</w:t>
            </w:r>
          </w:p>
        </w:tc>
      </w:tr>
      <w:tr>
        <w:trPr>
          <w:trHeight w:val="293"/>
          <w:jc w:val="center"/>
        </w:trPr>
        <w:tc>
          <w:tcPr>
            <w:tcW w:w="1539" w:type="dxa"/>
            <w:vMerge w:val="restart"/>
            <w:vAlign w:val="center"/>
          </w:tcPr>
          <w:p>
            <w:pPr>
              <w:suppressAutoHyphens/>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sz w:val="18"/>
                <w:szCs w:val="18"/>
                <w:lang w:val="en-US"/>
              </w:rPr>
              <w:t xml:space="preserve">DRS-R-98, </w:t>
            </w:r>
            <w:r>
              <w:rPr>
                <w:rFonts w:ascii="Times New Roman" w:hAnsi="Times New Roman" w:cs="Times New Roman"/>
                <w:sz w:val="18"/>
                <w:szCs w:val="18"/>
              </w:rPr>
              <w:t>балл</w:t>
            </w: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30)</w:t>
            </w:r>
          </w:p>
        </w:tc>
        <w:tc>
          <w:tcPr>
            <w:tcW w:w="1910" w:type="dxa"/>
          </w:tcPr>
          <w:p>
            <w:pPr>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 [18,7; 21,7]</w:t>
            </w:r>
          </w:p>
        </w:tc>
        <w:tc>
          <w:tcPr>
            <w:tcW w:w="1701" w:type="dxa"/>
          </w:tcPr>
          <w:p>
            <w:pPr>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 [22,1; 24,2]</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eastAsiaTheme="minorEastAsia" w:hAnsi="Times New Roman" w:cs="Times New Roman"/>
                <w:sz w:val="18"/>
                <w:szCs w:val="18"/>
                <w:lang w:val="en-US"/>
              </w:rPr>
            </w:pPr>
            <w:r>
              <w:rPr>
                <w:rFonts w:ascii="Times New Roman" w:hAnsi="Times New Roman" w:cs="Times New Roman"/>
                <w:color w:val="000000" w:themeColor="text1"/>
                <w:sz w:val="18"/>
                <w:szCs w:val="18"/>
              </w:rPr>
              <w:t>17,3 [14,1; 19,4]</w:t>
            </w:r>
            <w:r>
              <w:rPr>
                <w:rFonts w:ascii="Times New Roman" w:hAnsi="Times New Roman" w:cs="Times New Roman"/>
                <w:sz w:val="18"/>
                <w:szCs w:val="18"/>
                <w:vertAlign w:val="superscript"/>
                <w:lang w:val="en-US"/>
              </w:rPr>
              <w:t>#</w:t>
            </w:r>
            <w:r>
              <w:rPr>
                <w:rFonts w:ascii="Times New Roman" w:hAnsi="Times New Roman" w:cs="Times New Roman"/>
                <w:sz w:val="18"/>
                <w:szCs w:val="18"/>
                <w:vertAlign w:val="superscript"/>
              </w:rPr>
              <w:t xml:space="preserve">, </w:t>
            </w:r>
            <w:r>
              <w:rPr>
                <w:rFonts w:ascii="Times New Roman" w:hAnsi="Times New Roman" w:cs="Times New Roman"/>
                <w:color w:val="000000" w:themeColor="text1"/>
                <w:sz w:val="18"/>
                <w:szCs w:val="18"/>
                <w:vertAlign w:val="superscript"/>
                <w:lang w:val="en-US"/>
              </w:rPr>
              <w:t>^</w:t>
            </w:r>
          </w:p>
        </w:tc>
        <w:tc>
          <w:tcPr>
            <w:tcW w:w="1679" w:type="dxa"/>
          </w:tcPr>
          <w:p>
            <w:pPr>
              <w:suppressAutoHyphens/>
              <w:spacing w:after="0" w:line="240" w:lineRule="auto"/>
              <w:rPr>
                <w:rFonts w:ascii="Times New Roman" w:hAnsi="Times New Roman" w:cs="Times New Roman"/>
                <w:i/>
                <w:color w:val="000000" w:themeColor="text1"/>
                <w:sz w:val="18"/>
                <w:szCs w:val="18"/>
                <w:lang w:val="en-US"/>
              </w:rPr>
            </w:pPr>
            <w:r>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lang w:val="en-US"/>
              </w:rPr>
              <w:t>4</w:t>
            </w:r>
            <w:r>
              <w:rPr>
                <w:rFonts w:ascii="Times New Roman" w:hAnsi="Times New Roman" w:cs="Times New Roman"/>
                <w:color w:val="000000" w:themeColor="text1"/>
                <w:sz w:val="18"/>
                <w:szCs w:val="18"/>
              </w:rPr>
              <w:t>,1 [10,5; 13,3]</w:t>
            </w:r>
            <w:r>
              <w:rPr>
                <w:rFonts w:ascii="Times New Roman" w:hAnsi="Times New Roman" w:cs="Times New Roman"/>
                <w:color w:val="000000" w:themeColor="text1"/>
                <w:sz w:val="18"/>
                <w:szCs w:val="18"/>
                <w:vertAlign w:val="superscript"/>
                <w:lang w:val="en-US"/>
              </w:rPr>
              <w:t>#</w:t>
            </w:r>
            <w:r>
              <w:rPr>
                <w:rFonts w:ascii="Times New Roman" w:hAnsi="Times New Roman" w:cs="Times New Roman"/>
                <w:color w:val="000000" w:themeColor="text1"/>
                <w:sz w:val="18"/>
                <w:szCs w:val="18"/>
                <w:vertAlign w:val="superscript"/>
              </w:rPr>
              <w:t xml:space="preserve">, </w:t>
            </w:r>
            <w:r>
              <w:rPr>
                <w:rFonts w:ascii="Times New Roman" w:hAnsi="Times New Roman" w:cs="Times New Roman"/>
                <w:color w:val="000000" w:themeColor="text1"/>
                <w:sz w:val="18"/>
                <w:szCs w:val="18"/>
                <w:vertAlign w:val="superscript"/>
                <w:lang w:val="en-US"/>
              </w:rPr>
              <w:t>^</w:t>
            </w:r>
          </w:p>
        </w:tc>
      </w:tr>
      <w:tr>
        <w:trPr>
          <w:trHeight w:val="293"/>
          <w:jc w:val="center"/>
        </w:trPr>
        <w:tc>
          <w:tcPr>
            <w:tcW w:w="1539" w:type="dxa"/>
            <w:vMerge/>
          </w:tcPr>
          <w:p>
            <w:pPr>
              <w:suppressAutoHyphens/>
              <w:spacing w:after="0" w:line="240" w:lineRule="auto"/>
              <w:rPr>
                <w:rFonts w:ascii="Times New Roman" w:hAnsi="Times New Roman" w:cs="Times New Roman"/>
                <w:sz w:val="18"/>
                <w:szCs w:val="18"/>
              </w:rPr>
            </w:pPr>
          </w:p>
        </w:tc>
        <w:tc>
          <w:tcPr>
            <w:tcW w:w="1066" w:type="dxa"/>
          </w:tcPr>
          <w:p>
            <w:pPr>
              <w:suppressAutoHyphens/>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II</w:t>
            </w:r>
            <w:r>
              <w:rPr>
                <w:rFonts w:ascii="Times New Roman" w:hAnsi="Times New Roman" w:cs="Times New Roman"/>
                <w:sz w:val="18"/>
                <w:szCs w:val="18"/>
              </w:rPr>
              <w:t xml:space="preserve"> (</w:t>
            </w:r>
            <w:r>
              <w:rPr>
                <w:rFonts w:ascii="Times New Roman" w:hAnsi="Times New Roman" w:cs="Times New Roman"/>
                <w:sz w:val="18"/>
                <w:szCs w:val="18"/>
                <w:lang w:val="en-US"/>
              </w:rPr>
              <w:t>n</w:t>
            </w:r>
            <w:r>
              <w:rPr>
                <w:rFonts w:ascii="Times New Roman" w:hAnsi="Times New Roman" w:cs="Times New Roman"/>
                <w:sz w:val="18"/>
                <w:szCs w:val="18"/>
              </w:rPr>
              <w:t xml:space="preserve"> = </w:t>
            </w:r>
            <w:r>
              <w:rPr>
                <w:rFonts w:ascii="Times New Roman" w:hAnsi="Times New Roman" w:cs="Times New Roman"/>
                <w:sz w:val="18"/>
                <w:szCs w:val="18"/>
                <w:lang w:val="en-US"/>
              </w:rPr>
              <w:t>29)</w:t>
            </w:r>
          </w:p>
        </w:tc>
        <w:tc>
          <w:tcPr>
            <w:tcW w:w="1910" w:type="dxa"/>
          </w:tcPr>
          <w:p>
            <w:pPr>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20,4 [18,6; 20,9]</w:t>
            </w:r>
          </w:p>
        </w:tc>
        <w:tc>
          <w:tcPr>
            <w:tcW w:w="1701" w:type="dxa"/>
          </w:tcPr>
          <w:p>
            <w:pPr>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23,1 [19,1; 24,1]</w:t>
            </w:r>
            <w:r>
              <w:rPr>
                <w:rFonts w:ascii="Times New Roman" w:hAnsi="Times New Roman" w:cs="Times New Roman"/>
                <w:sz w:val="18"/>
                <w:szCs w:val="18"/>
                <w:vertAlign w:val="superscript"/>
                <w:lang w:val="en-US"/>
              </w:rPr>
              <w:t>#</w:t>
            </w:r>
          </w:p>
        </w:tc>
        <w:tc>
          <w:tcPr>
            <w:tcW w:w="1701" w:type="dxa"/>
          </w:tcPr>
          <w:p>
            <w:pPr>
              <w:suppressAutoHyphens/>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lang w:val="en-US"/>
              </w:rPr>
              <w:t>2</w:t>
            </w:r>
            <w:r>
              <w:rPr>
                <w:rFonts w:ascii="Times New Roman" w:hAnsi="Times New Roman" w:cs="Times New Roman"/>
                <w:color w:val="000000" w:themeColor="text1"/>
                <w:sz w:val="18"/>
                <w:szCs w:val="18"/>
              </w:rPr>
              <w:t>,9 [19,1; 2</w:t>
            </w:r>
            <w:r>
              <w:rPr>
                <w:rFonts w:ascii="Times New Roman" w:hAnsi="Times New Roman" w:cs="Times New Roman"/>
                <w:color w:val="000000" w:themeColor="text1"/>
                <w:sz w:val="18"/>
                <w:szCs w:val="18"/>
                <w:lang w:val="en-US"/>
              </w:rPr>
              <w:t>3</w:t>
            </w:r>
            <w:r>
              <w:rPr>
                <w:rFonts w:ascii="Times New Roman" w:hAnsi="Times New Roman" w:cs="Times New Roman"/>
                <w:color w:val="000000" w:themeColor="text1"/>
                <w:sz w:val="18"/>
                <w:szCs w:val="18"/>
              </w:rPr>
              <w:t>,1]</w:t>
            </w:r>
            <w:r>
              <w:rPr>
                <w:rFonts w:ascii="Times New Roman" w:hAnsi="Times New Roman" w:cs="Times New Roman"/>
                <w:sz w:val="18"/>
                <w:szCs w:val="18"/>
                <w:vertAlign w:val="superscript"/>
                <w:lang w:val="en-US"/>
              </w:rPr>
              <w:t>#</w:t>
            </w:r>
          </w:p>
        </w:tc>
        <w:tc>
          <w:tcPr>
            <w:tcW w:w="1679" w:type="dxa"/>
          </w:tcPr>
          <w:p>
            <w:pPr>
              <w:suppressAutoHyphens/>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19</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en-US"/>
              </w:rPr>
              <w:t>6</w:t>
            </w:r>
            <w:r>
              <w:rPr>
                <w:rFonts w:ascii="Times New Roman" w:hAnsi="Times New Roman" w:cs="Times New Roman"/>
                <w:color w:val="000000" w:themeColor="text1"/>
                <w:sz w:val="18"/>
                <w:szCs w:val="18"/>
              </w:rPr>
              <w:t xml:space="preserve"> [16,4; 2</w:t>
            </w:r>
            <w:r>
              <w:rPr>
                <w:rFonts w:ascii="Times New Roman" w:hAnsi="Times New Roman" w:cs="Times New Roman"/>
                <w:color w:val="000000" w:themeColor="text1"/>
                <w:sz w:val="18"/>
                <w:szCs w:val="18"/>
                <w:lang w:val="en-US"/>
              </w:rPr>
              <w:t>0</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lang w:val="en-US"/>
              </w:rPr>
              <w:t>9</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vertAlign w:val="superscript"/>
                <w:lang w:val="en-US"/>
              </w:rPr>
              <w:t>#</w:t>
            </w:r>
          </w:p>
        </w:tc>
      </w:tr>
    </w:tbl>
    <w:p>
      <w:pPr>
        <w:suppressAutoHyphens/>
        <w:spacing w:line="240" w:lineRule="auto"/>
        <w:ind w:firstLine="708"/>
        <w:jc w:val="both"/>
        <w:rPr>
          <w:rFonts w:ascii="Times New Roman" w:hAnsi="Times New Roman" w:cs="Times New Roman"/>
        </w:rPr>
      </w:pPr>
      <w:r>
        <w:rPr>
          <w:rFonts w:ascii="Times New Roman" w:hAnsi="Times New Roman" w:cs="Times New Roman"/>
        </w:rPr>
        <w:t xml:space="preserve">Примечание: АСТ – аспартатаминотрансфераза; АЛТ – аланинаминотрансфераза; МК – мочевина крови; АК – аммиак капиллярной крови; АБ – альбумин крови; Г – группы больных; ^ – межгрупповые различия – </w:t>
      </w:r>
      <w:r>
        <w:rPr>
          <w:rFonts w:ascii="Times New Roman" w:hAnsi="Times New Roman" w:cs="Times New Roman"/>
          <w:lang w:val="en-US"/>
        </w:rPr>
        <w:t>p</w:t>
      </w:r>
      <w:r>
        <w:rPr>
          <w:rFonts w:ascii="Times New Roman" w:hAnsi="Times New Roman" w:cs="Times New Roman"/>
        </w:rPr>
        <w:t xml:space="preserve"> ≤ 0,05; # – внутригрупповые различия – </w:t>
      </w:r>
      <w:r>
        <w:rPr>
          <w:rFonts w:ascii="Times New Roman" w:hAnsi="Times New Roman" w:cs="Times New Roman"/>
          <w:lang w:val="en-US"/>
        </w:rPr>
        <w:t>p</w:t>
      </w:r>
      <w:r>
        <w:rPr>
          <w:rFonts w:ascii="Times New Roman" w:hAnsi="Times New Roman" w:cs="Times New Roman"/>
        </w:rPr>
        <w:t xml:space="preserve"> ≤ 0,05</w:t>
      </w:r>
    </w:p>
    <w:p>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2</w:t>
      </w:r>
    </w:p>
    <w:p>
      <w:pPr>
        <w:tabs>
          <w:tab w:val="left" w:pos="567"/>
        </w:tabs>
        <w:suppressAutoHyphens/>
        <w:autoSpaceDE w:val="0"/>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Динамика изменений содержания лактата в капиллярной крови у пациентов с ОТО 1,4-БД, осложненным ДС </w:t>
      </w:r>
      <w:r>
        <w:rPr>
          <w:rFonts w:ascii="Times New Roman" w:hAnsi="Times New Roman" w:cs="Times New Roman"/>
          <w:sz w:val="28"/>
          <w:szCs w:val="28"/>
        </w:rPr>
        <w:t>в ходе лечения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1"/>
        <w:gridCol w:w="1187"/>
        <w:gridCol w:w="1418"/>
        <w:gridCol w:w="1842"/>
        <w:gridCol w:w="1843"/>
        <w:gridCol w:w="1931"/>
      </w:tblGrid>
      <w:tr>
        <w:trPr>
          <w:trHeight w:val="339"/>
          <w:jc w:val="center"/>
        </w:trPr>
        <w:tc>
          <w:tcPr>
            <w:tcW w:w="1331" w:type="dxa"/>
            <w:vMerge w:val="restart"/>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Показатель, единицы измерения</w:t>
            </w:r>
          </w:p>
        </w:tc>
        <w:tc>
          <w:tcPr>
            <w:tcW w:w="1187" w:type="dxa"/>
            <w:vMerge w:val="restart"/>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Г</w:t>
            </w:r>
          </w:p>
        </w:tc>
        <w:tc>
          <w:tcPr>
            <w:tcW w:w="7034" w:type="dxa"/>
            <w:gridSpan w:val="4"/>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Дни лечения</w:t>
            </w:r>
          </w:p>
        </w:tc>
      </w:tr>
      <w:tr>
        <w:trPr>
          <w:trHeight w:val="340"/>
          <w:jc w:val="center"/>
        </w:trPr>
        <w:tc>
          <w:tcPr>
            <w:tcW w:w="1331" w:type="dxa"/>
            <w:vMerge/>
            <w:vAlign w:val="center"/>
          </w:tcPr>
          <w:p>
            <w:pPr>
              <w:suppressAutoHyphens/>
              <w:spacing w:after="0" w:line="240" w:lineRule="auto"/>
              <w:jc w:val="center"/>
              <w:rPr>
                <w:rFonts w:ascii="Times New Roman" w:hAnsi="Times New Roman" w:cs="Times New Roman"/>
                <w:sz w:val="20"/>
                <w:szCs w:val="20"/>
              </w:rPr>
            </w:pPr>
          </w:p>
        </w:tc>
        <w:tc>
          <w:tcPr>
            <w:tcW w:w="1187" w:type="dxa"/>
            <w:vMerge/>
            <w:vAlign w:val="center"/>
          </w:tcPr>
          <w:p>
            <w:pPr>
              <w:suppressAutoHyphens/>
              <w:spacing w:after="0" w:line="240" w:lineRule="auto"/>
              <w:jc w:val="center"/>
              <w:rPr>
                <w:rFonts w:ascii="Times New Roman" w:hAnsi="Times New Roman" w:cs="Times New Roman"/>
                <w:sz w:val="20"/>
                <w:szCs w:val="20"/>
                <w:lang w:val="en-US"/>
              </w:rPr>
            </w:pPr>
          </w:p>
        </w:tc>
        <w:tc>
          <w:tcPr>
            <w:tcW w:w="1418"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1-й</w:t>
            </w:r>
          </w:p>
        </w:tc>
        <w:tc>
          <w:tcPr>
            <w:tcW w:w="1842"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3-й</w:t>
            </w:r>
          </w:p>
        </w:tc>
        <w:tc>
          <w:tcPr>
            <w:tcW w:w="1843"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5-й</w:t>
            </w:r>
          </w:p>
        </w:tc>
        <w:tc>
          <w:tcPr>
            <w:tcW w:w="1931"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7-й</w:t>
            </w:r>
          </w:p>
        </w:tc>
      </w:tr>
      <w:tr>
        <w:trPr>
          <w:trHeight w:val="339"/>
          <w:jc w:val="center"/>
        </w:trPr>
        <w:tc>
          <w:tcPr>
            <w:tcW w:w="1331" w:type="dxa"/>
            <w:vMerge w:val="restart"/>
            <w:vAlign w:val="center"/>
          </w:tcPr>
          <w:p>
            <w:pPr>
              <w:suppressAutoHyphens/>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L, </w:t>
            </w:r>
            <w:r>
              <w:rPr>
                <w:rFonts w:ascii="Times New Roman" w:hAnsi="Times New Roman" w:cs="Times New Roman"/>
                <w:color w:val="000000" w:themeColor="text1"/>
                <w:sz w:val="20"/>
                <w:szCs w:val="20"/>
              </w:rPr>
              <w:t>ммоль</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л</w:t>
            </w:r>
          </w:p>
        </w:tc>
        <w:tc>
          <w:tcPr>
            <w:tcW w:w="1187" w:type="dxa"/>
            <w:vAlign w:val="center"/>
          </w:tcPr>
          <w:p>
            <w:pPr>
              <w:suppressAutoHyphen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w:t>
            </w:r>
            <w:r>
              <w:rPr>
                <w:rFonts w:ascii="Times New Roman" w:hAnsi="Times New Roman" w:cs="Times New Roman"/>
                <w:sz w:val="20"/>
                <w:szCs w:val="20"/>
              </w:rPr>
              <w:t xml:space="preserve"> (</w:t>
            </w:r>
            <w:r>
              <w:rPr>
                <w:rFonts w:ascii="Times New Roman" w:hAnsi="Times New Roman" w:cs="Times New Roman"/>
                <w:sz w:val="20"/>
                <w:szCs w:val="20"/>
                <w:lang w:val="en-US"/>
              </w:rPr>
              <w:t>n</w:t>
            </w:r>
            <w:r>
              <w:rPr>
                <w:rFonts w:ascii="Times New Roman" w:hAnsi="Times New Roman" w:cs="Times New Roman"/>
                <w:sz w:val="20"/>
                <w:szCs w:val="20"/>
              </w:rPr>
              <w:t xml:space="preserve"> = </w:t>
            </w:r>
            <w:r>
              <w:rPr>
                <w:rFonts w:ascii="Times New Roman" w:hAnsi="Times New Roman" w:cs="Times New Roman"/>
                <w:sz w:val="20"/>
                <w:szCs w:val="20"/>
                <w:lang w:val="en-US"/>
              </w:rPr>
              <w:t>30)</w:t>
            </w:r>
          </w:p>
        </w:tc>
        <w:tc>
          <w:tcPr>
            <w:tcW w:w="1418" w:type="dxa"/>
            <w:vAlign w:val="center"/>
          </w:tcPr>
          <w:p>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 [3,4; 4,1]</w:t>
            </w:r>
          </w:p>
        </w:tc>
        <w:tc>
          <w:tcPr>
            <w:tcW w:w="1842" w:type="dxa"/>
            <w:vAlign w:val="center"/>
          </w:tcPr>
          <w:p>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 [3,2; 3,7]</w:t>
            </w:r>
            <w:r>
              <w:rPr>
                <w:rFonts w:ascii="Times New Roman" w:hAnsi="Times New Roman" w:cs="Times New Roman"/>
                <w:color w:val="000000" w:themeColor="text1"/>
                <w:sz w:val="20"/>
                <w:szCs w:val="20"/>
                <w:vertAlign w:val="superscript"/>
                <w:lang w:val="en-US"/>
              </w:rPr>
              <w:t>^</w:t>
            </w:r>
          </w:p>
        </w:tc>
        <w:tc>
          <w:tcPr>
            <w:tcW w:w="1843" w:type="dxa"/>
            <w:vAlign w:val="center"/>
          </w:tcPr>
          <w:p>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[1,9; 2,3]</w:t>
            </w:r>
            <w:r>
              <w:rPr>
                <w:rFonts w:ascii="Times New Roman" w:hAnsi="Times New Roman" w:cs="Times New Roman"/>
                <w:color w:val="000000" w:themeColor="text1"/>
                <w:sz w:val="20"/>
                <w:szCs w:val="20"/>
                <w:vertAlign w:val="superscript"/>
                <w:lang w:val="en-US"/>
              </w:rPr>
              <w:t>#</w:t>
            </w:r>
            <w:r>
              <w:rPr>
                <w:rFonts w:ascii="Times New Roman" w:hAnsi="Times New Roman" w:cs="Times New Roman"/>
                <w:color w:val="000000" w:themeColor="text1"/>
                <w:sz w:val="20"/>
                <w:szCs w:val="20"/>
                <w:vertAlign w:val="superscript"/>
              </w:rPr>
              <w:t xml:space="preserve">, </w:t>
            </w:r>
            <w:r>
              <w:rPr>
                <w:rFonts w:ascii="Times New Roman" w:hAnsi="Times New Roman" w:cs="Times New Roman"/>
                <w:color w:val="000000" w:themeColor="text1"/>
                <w:sz w:val="20"/>
                <w:szCs w:val="20"/>
                <w:vertAlign w:val="superscript"/>
                <w:lang w:val="en-US"/>
              </w:rPr>
              <w:t>^</w:t>
            </w:r>
          </w:p>
        </w:tc>
        <w:tc>
          <w:tcPr>
            <w:tcW w:w="1931" w:type="dxa"/>
            <w:vAlign w:val="center"/>
          </w:tcPr>
          <w:p>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[0,87; 1,2]</w:t>
            </w:r>
            <w:r>
              <w:rPr>
                <w:rFonts w:ascii="Times New Roman" w:hAnsi="Times New Roman" w:cs="Times New Roman"/>
                <w:color w:val="000000" w:themeColor="text1"/>
                <w:sz w:val="20"/>
                <w:szCs w:val="20"/>
                <w:vertAlign w:val="superscript"/>
                <w:lang w:val="en-US"/>
              </w:rPr>
              <w:t>#</w:t>
            </w:r>
            <w:r>
              <w:rPr>
                <w:rFonts w:ascii="Times New Roman" w:hAnsi="Times New Roman" w:cs="Times New Roman"/>
                <w:color w:val="000000" w:themeColor="text1"/>
                <w:sz w:val="20"/>
                <w:szCs w:val="20"/>
                <w:vertAlign w:val="superscript"/>
              </w:rPr>
              <w:t xml:space="preserve">, </w:t>
            </w:r>
            <w:r>
              <w:rPr>
                <w:rFonts w:ascii="Times New Roman" w:hAnsi="Times New Roman" w:cs="Times New Roman"/>
                <w:color w:val="000000" w:themeColor="text1"/>
                <w:sz w:val="20"/>
                <w:szCs w:val="20"/>
                <w:vertAlign w:val="superscript"/>
                <w:lang w:val="en-US"/>
              </w:rPr>
              <w:t>^</w:t>
            </w:r>
          </w:p>
        </w:tc>
      </w:tr>
      <w:tr>
        <w:trPr>
          <w:trHeight w:val="340"/>
          <w:jc w:val="center"/>
        </w:trPr>
        <w:tc>
          <w:tcPr>
            <w:tcW w:w="1331" w:type="dxa"/>
            <w:vMerge/>
            <w:vAlign w:val="center"/>
          </w:tcPr>
          <w:p>
            <w:pPr>
              <w:suppressAutoHyphens/>
              <w:spacing w:after="0" w:line="240" w:lineRule="auto"/>
              <w:jc w:val="center"/>
              <w:rPr>
                <w:rFonts w:ascii="Times New Roman" w:hAnsi="Times New Roman" w:cs="Times New Roman"/>
                <w:sz w:val="20"/>
                <w:szCs w:val="20"/>
                <w:lang w:val="en-US"/>
              </w:rPr>
            </w:pPr>
          </w:p>
        </w:tc>
        <w:tc>
          <w:tcPr>
            <w:tcW w:w="1187" w:type="dxa"/>
            <w:vAlign w:val="center"/>
          </w:tcPr>
          <w:p>
            <w:pPr>
              <w:suppressAutoHyphen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w:t>
            </w:r>
            <w:r>
              <w:rPr>
                <w:rFonts w:ascii="Times New Roman" w:hAnsi="Times New Roman" w:cs="Times New Roman"/>
                <w:sz w:val="20"/>
                <w:szCs w:val="20"/>
              </w:rPr>
              <w:t xml:space="preserve"> (</w:t>
            </w:r>
            <w:r>
              <w:rPr>
                <w:rFonts w:ascii="Times New Roman" w:hAnsi="Times New Roman" w:cs="Times New Roman"/>
                <w:sz w:val="20"/>
                <w:szCs w:val="20"/>
                <w:lang w:val="en-US"/>
              </w:rPr>
              <w:t>n</w:t>
            </w:r>
            <w:r>
              <w:rPr>
                <w:rFonts w:ascii="Times New Roman" w:hAnsi="Times New Roman" w:cs="Times New Roman"/>
                <w:sz w:val="20"/>
                <w:szCs w:val="20"/>
              </w:rPr>
              <w:t xml:space="preserve"> = </w:t>
            </w:r>
            <w:r>
              <w:rPr>
                <w:rFonts w:ascii="Times New Roman" w:hAnsi="Times New Roman" w:cs="Times New Roman"/>
                <w:sz w:val="20"/>
                <w:szCs w:val="20"/>
                <w:lang w:val="en-US"/>
              </w:rPr>
              <w:t>29)</w:t>
            </w:r>
          </w:p>
        </w:tc>
        <w:tc>
          <w:tcPr>
            <w:tcW w:w="1418" w:type="dxa"/>
            <w:vAlign w:val="center"/>
          </w:tcPr>
          <w:p>
            <w:pPr>
              <w:suppressAutoHyphens/>
              <w:spacing w:after="0" w:line="240" w:lineRule="auto"/>
              <w:jc w:val="center"/>
              <w:rPr>
                <w:rFonts w:ascii="Times New Roman" w:hAnsi="Times New Roman" w:cs="Times New Roman"/>
                <w:sz w:val="20"/>
                <w:szCs w:val="20"/>
                <w:lang w:val="en-US"/>
              </w:rPr>
            </w:pPr>
            <w:r>
              <w:rPr>
                <w:rFonts w:ascii="Times New Roman" w:hAnsi="Times New Roman" w:cs="Times New Roman"/>
                <w:color w:val="000000" w:themeColor="text1"/>
                <w:sz w:val="20"/>
                <w:szCs w:val="20"/>
              </w:rPr>
              <w:t>3,9 [3,1; 4,2]</w:t>
            </w:r>
          </w:p>
        </w:tc>
        <w:tc>
          <w:tcPr>
            <w:tcW w:w="1842"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4,4 [3,1; 4,8]</w:t>
            </w:r>
            <w:r>
              <w:rPr>
                <w:rFonts w:ascii="Times New Roman" w:hAnsi="Times New Roman" w:cs="Times New Roman"/>
                <w:color w:val="000000" w:themeColor="text1"/>
                <w:sz w:val="20"/>
                <w:szCs w:val="20"/>
                <w:vertAlign w:val="superscript"/>
                <w:lang w:val="en-US"/>
              </w:rPr>
              <w:t>#</w:t>
            </w:r>
          </w:p>
        </w:tc>
        <w:tc>
          <w:tcPr>
            <w:tcW w:w="1843" w:type="dxa"/>
            <w:vAlign w:val="center"/>
          </w:tcPr>
          <w:p>
            <w:pPr>
              <w:suppressAutoHyphens/>
              <w:spacing w:after="0" w:line="240" w:lineRule="auto"/>
              <w:jc w:val="center"/>
              <w:rPr>
                <w:rFonts w:ascii="Times New Roman" w:hAnsi="Times New Roman" w:cs="Times New Roman"/>
                <w:sz w:val="20"/>
                <w:szCs w:val="20"/>
                <w:lang w:val="en-US"/>
              </w:rPr>
            </w:pPr>
            <w:r>
              <w:rPr>
                <w:rFonts w:ascii="Times New Roman" w:hAnsi="Times New Roman" w:cs="Times New Roman"/>
                <w:color w:val="000000" w:themeColor="text1"/>
                <w:sz w:val="20"/>
                <w:szCs w:val="20"/>
              </w:rPr>
              <w:t>4,1 [3,6; 4,4]</w:t>
            </w:r>
            <w:r>
              <w:rPr>
                <w:rFonts w:ascii="Times New Roman" w:hAnsi="Times New Roman" w:cs="Times New Roman"/>
                <w:color w:val="000000" w:themeColor="text1"/>
                <w:sz w:val="20"/>
                <w:szCs w:val="20"/>
                <w:vertAlign w:val="superscript"/>
                <w:lang w:val="en-US"/>
              </w:rPr>
              <w:t>#</w:t>
            </w:r>
          </w:p>
        </w:tc>
        <w:tc>
          <w:tcPr>
            <w:tcW w:w="1931" w:type="dxa"/>
            <w:vAlign w:val="center"/>
          </w:tcPr>
          <w:p>
            <w:pPr>
              <w:suppressAutoHyphens/>
              <w:spacing w:after="0"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2,12 [1,8; 2,6]</w:t>
            </w:r>
            <w:r>
              <w:rPr>
                <w:rFonts w:ascii="Times New Roman" w:hAnsi="Times New Roman" w:cs="Times New Roman"/>
                <w:color w:val="000000" w:themeColor="text1"/>
                <w:sz w:val="20"/>
                <w:szCs w:val="20"/>
                <w:vertAlign w:val="superscript"/>
                <w:lang w:val="en-US"/>
              </w:rPr>
              <w:t>#</w:t>
            </w:r>
          </w:p>
        </w:tc>
      </w:tr>
    </w:tbl>
    <w:p>
      <w:pPr>
        <w:suppressAutoHyphens/>
        <w:spacing w:line="240" w:lineRule="auto"/>
        <w:ind w:firstLine="567"/>
        <w:jc w:val="both"/>
        <w:rPr>
          <w:rFonts w:ascii="Times New Roman" w:hAnsi="Times New Roman" w:cs="Times New Roman"/>
        </w:rPr>
      </w:pPr>
      <w:r>
        <w:rPr>
          <w:rFonts w:ascii="Times New Roman" w:hAnsi="Times New Roman" w:cs="Times New Roman"/>
        </w:rPr>
        <w:t xml:space="preserve">Примечание: </w:t>
      </w:r>
      <w:r>
        <w:rPr>
          <w:rFonts w:ascii="Times New Roman" w:hAnsi="Times New Roman" w:cs="Times New Roman"/>
          <w:lang w:val="en-US"/>
        </w:rPr>
        <w:t>L</w:t>
      </w:r>
      <w:r>
        <w:rPr>
          <w:rFonts w:ascii="Times New Roman" w:hAnsi="Times New Roman" w:cs="Times New Roman"/>
        </w:rPr>
        <w:t xml:space="preserve"> – лактат; Г – группы больных; ^ – межгрупповые различия – </w:t>
      </w:r>
      <w:r>
        <w:rPr>
          <w:rFonts w:ascii="Times New Roman" w:hAnsi="Times New Roman" w:cs="Times New Roman"/>
          <w:lang w:val="en-US"/>
        </w:rPr>
        <w:t>p</w:t>
      </w:r>
      <w:r>
        <w:rPr>
          <w:rFonts w:ascii="Times New Roman" w:hAnsi="Times New Roman" w:cs="Times New Roman"/>
        </w:rPr>
        <w:t xml:space="preserve"> ≤ 0,05; # – внутригрупповые различия – </w:t>
      </w:r>
      <w:r>
        <w:rPr>
          <w:rFonts w:ascii="Times New Roman" w:hAnsi="Times New Roman" w:cs="Times New Roman"/>
          <w:lang w:val="en-US"/>
        </w:rPr>
        <w:t>p</w:t>
      </w:r>
      <w:r>
        <w:rPr>
          <w:rFonts w:ascii="Times New Roman" w:hAnsi="Times New Roman" w:cs="Times New Roman"/>
        </w:rPr>
        <w:t xml:space="preserve"> ≤ 0,05</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динамике биохимических показателей установили повышение активности трансаминаз, мочевины, аммиака и лактата в крови в 1-е и 3-е сутки ДС (табл. 1, табл. 2). Содержание альбумина в крови в обеих группах в интенсивный период психоза не выходили за пределы показателей соответствующих варианту нормы.</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Корреляционная связь изменений лабораторных показателей и выраженности ДС у больных с ОТО 1,4-БД в 1-е сутки обследования представлена в таблице 3. Как видно из таблицы 3 в ходе исследования было установлено</w:t>
      </w:r>
      <w:r>
        <w:rPr>
          <w:rFonts w:ascii="Times New Roman" w:hAnsi="Times New Roman" w:cs="Times New Roman"/>
          <w:snapToGrid w:val="0"/>
          <w:sz w:val="28"/>
          <w:szCs w:val="28"/>
        </w:rPr>
        <w:t xml:space="preserve"> повышение концентрации аммиака, лактата в капиллярной крови и АСТ в крови в прямой связи с выраженностью ДС по шкале </w:t>
      </w:r>
      <w:r>
        <w:rPr>
          <w:rFonts w:ascii="Times New Roman" w:hAnsi="Times New Roman" w:cs="Times New Roman"/>
          <w:snapToGrid w:val="0"/>
          <w:sz w:val="28"/>
          <w:szCs w:val="28"/>
          <w:lang w:val="en-US"/>
        </w:rPr>
        <w:t>DRS</w:t>
      </w:r>
      <w:r>
        <w:rPr>
          <w:rFonts w:ascii="Times New Roman" w:hAnsi="Times New Roman" w:cs="Times New Roman"/>
          <w:snapToGrid w:val="0"/>
          <w:sz w:val="28"/>
          <w:szCs w:val="28"/>
        </w:rPr>
        <w:t>-</w:t>
      </w:r>
      <w:r>
        <w:rPr>
          <w:rFonts w:ascii="Times New Roman" w:hAnsi="Times New Roman" w:cs="Times New Roman"/>
          <w:snapToGrid w:val="0"/>
          <w:sz w:val="28"/>
          <w:szCs w:val="28"/>
          <w:lang w:val="en-US"/>
        </w:rPr>
        <w:t>R</w:t>
      </w:r>
      <w:r>
        <w:rPr>
          <w:rFonts w:ascii="Times New Roman" w:hAnsi="Times New Roman" w:cs="Times New Roman"/>
          <w:snapToGrid w:val="0"/>
          <w:sz w:val="28"/>
          <w:szCs w:val="28"/>
        </w:rPr>
        <w:t xml:space="preserve">-98 (рис. 1). </w:t>
      </w:r>
      <w:r>
        <w:rPr>
          <w:rFonts w:ascii="Times New Roman" w:hAnsi="Times New Roman" w:cs="Times New Roman"/>
          <w:sz w:val="28"/>
          <w:szCs w:val="28"/>
        </w:rPr>
        <w:t xml:space="preserve">У больных с выраженными признаками гипераммониемии наблюдали повышение уровня мочевины в крови до медианных значений в </w:t>
      </w:r>
      <w:r>
        <w:rPr>
          <w:rFonts w:ascii="Times New Roman" w:hAnsi="Times New Roman" w:cs="Times New Roman"/>
          <w:sz w:val="28"/>
          <w:szCs w:val="28"/>
          <w:lang w:val="en-US"/>
        </w:rPr>
        <w:t>I</w:t>
      </w:r>
      <w:r>
        <w:rPr>
          <w:rFonts w:ascii="Times New Roman" w:hAnsi="Times New Roman" w:cs="Times New Roman"/>
          <w:sz w:val="28"/>
          <w:szCs w:val="28"/>
        </w:rPr>
        <w:t xml:space="preserve"> группе 9 [8; 12], во </w:t>
      </w:r>
      <w:r>
        <w:rPr>
          <w:rFonts w:ascii="Times New Roman" w:hAnsi="Times New Roman" w:cs="Times New Roman"/>
          <w:sz w:val="28"/>
          <w:szCs w:val="28"/>
          <w:lang w:val="en-US"/>
        </w:rPr>
        <w:t>II</w:t>
      </w:r>
      <w:r>
        <w:rPr>
          <w:rFonts w:ascii="Times New Roman" w:hAnsi="Times New Roman" w:cs="Times New Roman"/>
          <w:sz w:val="28"/>
          <w:szCs w:val="28"/>
        </w:rPr>
        <w:t xml:space="preserve"> группе до 9,6 [7; 12,6] ммоль/л в прямой связи с уровнем аммиака в капиллярной крови (</w:t>
      </w:r>
      <w:r>
        <w:rPr>
          <w:rFonts w:ascii="Times New Roman" w:hAnsi="Times New Roman" w:cs="Times New Roman"/>
          <w:sz w:val="28"/>
          <w:szCs w:val="28"/>
          <w:lang w:val="en-US"/>
        </w:rPr>
        <w:t>r</w:t>
      </w:r>
      <w:r>
        <w:rPr>
          <w:rFonts w:ascii="Times New Roman" w:hAnsi="Times New Roman" w:cs="Times New Roman"/>
          <w:sz w:val="28"/>
          <w:szCs w:val="28"/>
        </w:rPr>
        <w:t xml:space="preserve"> = 0,79; </w:t>
      </w:r>
      <w:r>
        <w:rPr>
          <w:rFonts w:ascii="Times New Roman" w:hAnsi="Times New Roman" w:cs="Times New Roman"/>
          <w:sz w:val="28"/>
          <w:szCs w:val="28"/>
          <w:lang w:val="en-US"/>
        </w:rPr>
        <w:t>p</w:t>
      </w:r>
      <w:r>
        <w:rPr>
          <w:rFonts w:ascii="Times New Roman" w:hAnsi="Times New Roman" w:cs="Times New Roman"/>
          <w:sz w:val="28"/>
          <w:szCs w:val="28"/>
        </w:rPr>
        <w:t xml:space="preserve"> = 0,001).</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napToGrid w:val="0"/>
          <w:sz w:val="28"/>
          <w:szCs w:val="28"/>
        </w:rPr>
        <w:t xml:space="preserve">Следует отметить, что в обеих группах в период 3-х суток наблюдения уровень медианных значений свободного аммиака в крови в </w:t>
      </w:r>
      <w:r>
        <w:rPr>
          <w:rFonts w:ascii="Times New Roman" w:hAnsi="Times New Roman" w:cs="Times New Roman"/>
          <w:snapToGrid w:val="0"/>
          <w:sz w:val="28"/>
          <w:szCs w:val="28"/>
          <w:lang w:val="en-US"/>
        </w:rPr>
        <w:t>I</w:t>
      </w:r>
      <w:r>
        <w:rPr>
          <w:rFonts w:ascii="Times New Roman" w:hAnsi="Times New Roman" w:cs="Times New Roman"/>
          <w:snapToGrid w:val="0"/>
          <w:sz w:val="28"/>
          <w:szCs w:val="28"/>
        </w:rPr>
        <w:t xml:space="preserve"> группе достиг </w:t>
      </w:r>
      <w:r>
        <w:rPr>
          <w:rFonts w:ascii="Times New Roman" w:hAnsi="Times New Roman" w:cs="Times New Roman"/>
          <w:sz w:val="28"/>
          <w:szCs w:val="28"/>
        </w:rPr>
        <w:t xml:space="preserve">98 [85; 115], во </w:t>
      </w:r>
      <w:r>
        <w:rPr>
          <w:rFonts w:ascii="Times New Roman" w:hAnsi="Times New Roman" w:cs="Times New Roman"/>
          <w:sz w:val="28"/>
          <w:szCs w:val="28"/>
          <w:lang w:val="en-US"/>
        </w:rPr>
        <w:t>II</w:t>
      </w:r>
      <w:r>
        <w:rPr>
          <w:rFonts w:ascii="Times New Roman" w:hAnsi="Times New Roman" w:cs="Times New Roman"/>
          <w:sz w:val="28"/>
          <w:szCs w:val="28"/>
        </w:rPr>
        <w:t xml:space="preserve"> группе – 95 [69; 110] мкмоль/л, что превышало нормоаммиакемию (60 мкмоль/л), у большей части больных, в два раза.</w:t>
      </w:r>
    </w:p>
    <w:p>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3</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Корреляционная связь между изменениями лабораторных показателей и тяжести ДС у больных с ОТО 1,4-БД в 1-е сутки</w:t>
      </w:r>
    </w:p>
    <w:tbl>
      <w:tblPr>
        <w:tblStyle w:val="af0"/>
        <w:tblW w:w="9558" w:type="dxa"/>
        <w:jc w:val="center"/>
        <w:tblInd w:w="-161" w:type="dxa"/>
        <w:tblLayout w:type="fixed"/>
        <w:tblLook w:val="04A0"/>
      </w:tblPr>
      <w:tblGrid>
        <w:gridCol w:w="1622"/>
        <w:gridCol w:w="1397"/>
        <w:gridCol w:w="1359"/>
        <w:gridCol w:w="1359"/>
        <w:gridCol w:w="1262"/>
        <w:gridCol w:w="1365"/>
        <w:gridCol w:w="1194"/>
      </w:tblGrid>
      <w:tr>
        <w:trPr>
          <w:trHeight w:val="427"/>
          <w:jc w:val="center"/>
        </w:trPr>
        <w:tc>
          <w:tcPr>
            <w:tcW w:w="1622" w:type="dxa"/>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Показатели</w:t>
            </w:r>
          </w:p>
        </w:tc>
        <w:tc>
          <w:tcPr>
            <w:tcW w:w="1397" w:type="dxa"/>
            <w:vAlign w:val="center"/>
          </w:tcPr>
          <w:p>
            <w:pPr>
              <w:suppressAutoHyphens/>
              <w:jc w:val="center"/>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DRS-</w:t>
            </w:r>
            <w:r>
              <w:rPr>
                <w:rFonts w:ascii="Times New Roman" w:eastAsia="Times New Roman" w:hAnsi="Times New Roman" w:cs="Times New Roman"/>
                <w:bCs/>
                <w:color w:val="000000"/>
                <w:sz w:val="24"/>
                <w:szCs w:val="24"/>
                <w:lang w:val="en-US" w:eastAsia="ru-RU"/>
              </w:rPr>
              <w:t>R-98</w:t>
            </w:r>
          </w:p>
        </w:tc>
        <w:tc>
          <w:tcPr>
            <w:tcW w:w="1359" w:type="dxa"/>
            <w:vAlign w:val="center"/>
          </w:tcPr>
          <w:p>
            <w:pPr>
              <w:suppressAutoHyphens/>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Лактат</w:t>
            </w:r>
          </w:p>
        </w:tc>
        <w:tc>
          <w:tcPr>
            <w:tcW w:w="1359" w:type="dxa"/>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Мочевина</w:t>
            </w:r>
          </w:p>
        </w:tc>
        <w:tc>
          <w:tcPr>
            <w:tcW w:w="1262" w:type="dxa"/>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Аммиак</w:t>
            </w:r>
          </w:p>
        </w:tc>
        <w:tc>
          <w:tcPr>
            <w:tcW w:w="1365" w:type="dxa"/>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АСТ</w:t>
            </w:r>
          </w:p>
        </w:tc>
        <w:tc>
          <w:tcPr>
            <w:tcW w:w="1194" w:type="dxa"/>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АЛТ</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DRS-</w:t>
            </w:r>
            <w:r>
              <w:rPr>
                <w:rFonts w:ascii="Times New Roman" w:eastAsia="Times New Roman" w:hAnsi="Times New Roman" w:cs="Times New Roman"/>
                <w:bCs/>
                <w:color w:val="000000"/>
                <w:sz w:val="24"/>
                <w:szCs w:val="24"/>
                <w:lang w:val="en-US" w:eastAsia="ru-RU"/>
              </w:rPr>
              <w:t>R-98</w:t>
            </w: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0,34</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,14</w:t>
            </w:r>
          </w:p>
        </w:tc>
        <w:tc>
          <w:tcPr>
            <w:tcW w:w="1262"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,28</w:t>
            </w:r>
          </w:p>
        </w:tc>
        <w:tc>
          <w:tcPr>
            <w:tcW w:w="1365"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,35</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,19</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 -</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0,003</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,27</w:t>
            </w:r>
          </w:p>
        </w:tc>
        <w:tc>
          <w:tcPr>
            <w:tcW w:w="1262"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0,026</w:t>
            </w:r>
          </w:p>
        </w:tc>
        <w:tc>
          <w:tcPr>
            <w:tcW w:w="1365"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p = </w:t>
            </w: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,005</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,12</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Мочевина</w:t>
            </w: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,14</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0,21</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262"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,76</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,00</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,16</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,27</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0,026</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 -</w:t>
            </w:r>
          </w:p>
        </w:tc>
        <w:tc>
          <w:tcPr>
            <w:tcW w:w="1262" w:type="dxa"/>
            <w:vAlign w:val="center"/>
          </w:tcPr>
          <w:p>
            <w:pPr>
              <w:suppressAutoHyphens/>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p=,000</w:t>
            </w:r>
            <w:r>
              <w:rPr>
                <w:rFonts w:ascii="Times New Roman" w:eastAsia="Times New Roman" w:hAnsi="Times New Roman" w:cs="Times New Roman"/>
                <w:b/>
                <w:color w:val="000000" w:themeColor="text1"/>
                <w:sz w:val="24"/>
                <w:szCs w:val="24"/>
                <w:lang w:val="en-US" w:eastAsia="ru-RU"/>
              </w:rPr>
              <w:t>1</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,98</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,19</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Аммиак</w:t>
            </w:r>
          </w:p>
        </w:tc>
        <w:tc>
          <w:tcPr>
            <w:tcW w:w="1397"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,28</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0,19</w:t>
            </w:r>
          </w:p>
        </w:tc>
        <w:tc>
          <w:tcPr>
            <w:tcW w:w="1359"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,79</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,01</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,02</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p = </w:t>
            </w: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,026</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0,013</w:t>
            </w:r>
          </w:p>
        </w:tc>
        <w:tc>
          <w:tcPr>
            <w:tcW w:w="1359" w:type="dxa"/>
            <w:vAlign w:val="center"/>
          </w:tcPr>
          <w:p>
            <w:pPr>
              <w:suppressAutoHyphens/>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 xml:space="preserve">p = </w:t>
            </w: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,00</w:t>
            </w:r>
            <w:r>
              <w:rPr>
                <w:rFonts w:ascii="Times New Roman" w:eastAsia="Times New Roman" w:hAnsi="Times New Roman" w:cs="Times New Roman"/>
                <w:b/>
                <w:color w:val="000000" w:themeColor="text1"/>
                <w:sz w:val="24"/>
                <w:szCs w:val="24"/>
                <w:lang w:val="en-US" w:eastAsia="ru-RU"/>
              </w:rPr>
              <w:t>1</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 -</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,92</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,86</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АСТ</w:t>
            </w:r>
          </w:p>
        </w:tc>
        <w:tc>
          <w:tcPr>
            <w:tcW w:w="1397"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,35</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0,31</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,002</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,01</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194"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,62</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0,005</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0,002</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,98</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,92</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w:t>
            </w:r>
          </w:p>
        </w:tc>
        <w:tc>
          <w:tcPr>
            <w:tcW w:w="1194" w:type="dxa"/>
            <w:vAlign w:val="center"/>
          </w:tcPr>
          <w:p>
            <w:pPr>
              <w:suppressAutoHyphens/>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 xml:space="preserve">p = </w:t>
            </w: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1</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АЛТ</w:t>
            </w: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,19</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0,14</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,16</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,02</w:t>
            </w:r>
          </w:p>
        </w:tc>
        <w:tc>
          <w:tcPr>
            <w:tcW w:w="1365" w:type="dxa"/>
            <w:vAlign w:val="center"/>
          </w:tcPr>
          <w:p>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w:t>
            </w:r>
            <w:r>
              <w:rPr>
                <w:rFonts w:ascii="Times New Roman" w:eastAsia="Times New Roman" w:hAnsi="Times New Roman" w:cs="Times New Roman"/>
                <w:b/>
                <w:color w:val="000000" w:themeColor="text1"/>
                <w:sz w:val="24"/>
                <w:szCs w:val="24"/>
                <w:lang w:eastAsia="ru-RU"/>
              </w:rPr>
              <w:t>,62</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,124</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0,02</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,19</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p = </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,86</w:t>
            </w:r>
          </w:p>
        </w:tc>
        <w:tc>
          <w:tcPr>
            <w:tcW w:w="1365" w:type="dxa"/>
            <w:vAlign w:val="center"/>
          </w:tcPr>
          <w:p>
            <w:pPr>
              <w:suppressAutoHyphens/>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p = 0,000</w:t>
            </w:r>
            <w:r>
              <w:rPr>
                <w:rFonts w:ascii="Times New Roman" w:eastAsia="Times New Roman" w:hAnsi="Times New Roman" w:cs="Times New Roman"/>
                <w:b/>
                <w:color w:val="000000" w:themeColor="text1"/>
                <w:sz w:val="24"/>
                <w:szCs w:val="24"/>
                <w:lang w:val="en-US" w:eastAsia="ru-RU"/>
              </w:rPr>
              <w:t>1</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w:t>
            </w:r>
          </w:p>
        </w:tc>
      </w:tr>
      <w:tr>
        <w:trPr>
          <w:trHeight w:val="427"/>
          <w:jc w:val="center"/>
        </w:trPr>
        <w:tc>
          <w:tcPr>
            <w:tcW w:w="1622" w:type="dxa"/>
            <w:vMerge w:val="restart"/>
            <w:vAlign w:val="center"/>
          </w:tcPr>
          <w:p>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Лактат</w:t>
            </w: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0,34</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0,21</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0,19</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0,31</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0,14</w:t>
            </w:r>
          </w:p>
        </w:tc>
      </w:tr>
      <w:tr>
        <w:trPr>
          <w:trHeight w:val="427"/>
          <w:jc w:val="center"/>
        </w:trPr>
        <w:tc>
          <w:tcPr>
            <w:tcW w:w="1622" w:type="dxa"/>
            <w:vMerge/>
            <w:vAlign w:val="center"/>
          </w:tcPr>
          <w:p>
            <w:pPr>
              <w:suppressAutoHyphens/>
              <w:jc w:val="center"/>
              <w:rPr>
                <w:rFonts w:ascii="Times New Roman" w:eastAsia="Times New Roman" w:hAnsi="Times New Roman" w:cs="Times New Roman"/>
                <w:bCs/>
                <w:sz w:val="24"/>
                <w:szCs w:val="24"/>
                <w:lang w:eastAsia="ru-RU"/>
              </w:rPr>
            </w:pPr>
          </w:p>
        </w:tc>
        <w:tc>
          <w:tcPr>
            <w:tcW w:w="1397"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0,003</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 = -</w:t>
            </w:r>
          </w:p>
        </w:tc>
        <w:tc>
          <w:tcPr>
            <w:tcW w:w="1359"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0,026</w:t>
            </w:r>
          </w:p>
        </w:tc>
        <w:tc>
          <w:tcPr>
            <w:tcW w:w="1262"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0,013</w:t>
            </w:r>
          </w:p>
        </w:tc>
        <w:tc>
          <w:tcPr>
            <w:tcW w:w="1365"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0,002</w:t>
            </w:r>
          </w:p>
        </w:tc>
        <w:tc>
          <w:tcPr>
            <w:tcW w:w="1194" w:type="dxa"/>
            <w:vAlign w:val="center"/>
          </w:tcPr>
          <w:p>
            <w:pPr>
              <w:suppressAutoHyphen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p = 0,02</w:t>
            </w:r>
          </w:p>
        </w:tc>
      </w:tr>
    </w:tbl>
    <w:p>
      <w:pPr>
        <w:suppressAutoHyphens/>
        <w:spacing w:line="240" w:lineRule="auto"/>
        <w:ind w:firstLine="708"/>
        <w:jc w:val="both"/>
        <w:rPr>
          <w:rFonts w:ascii="Times New Roman" w:hAnsi="Times New Roman" w:cs="Times New Roman"/>
        </w:rPr>
      </w:pPr>
      <w:r>
        <w:rPr>
          <w:rFonts w:ascii="Times New Roman" w:hAnsi="Times New Roman" w:cs="Times New Roman"/>
        </w:rPr>
        <w:t xml:space="preserve">Примечания: ярким цветом отмечены корреляции значимы на уровне </w:t>
      </w:r>
      <w:r>
        <w:rPr>
          <w:rFonts w:ascii="Times New Roman" w:hAnsi="Times New Roman" w:cs="Times New Roman"/>
          <w:lang w:val="en-US"/>
        </w:rPr>
        <w:t>p</w:t>
      </w:r>
      <w:r>
        <w:rPr>
          <w:rFonts w:ascii="Times New Roman" w:hAnsi="Times New Roman" w:cs="Times New Roman"/>
        </w:rPr>
        <w:t xml:space="preserve"> &lt; 0,05; АСТ – аспартатаминотрансфераза; АЛТ – аланинаминотрансфераза</w:t>
      </w:r>
    </w:p>
    <w:p>
      <w:pPr>
        <w:suppressAutoHyphen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650875</wp:posOffset>
            </wp:positionH>
            <wp:positionV relativeFrom="paragraph">
              <wp:posOffset>-635</wp:posOffset>
            </wp:positionV>
            <wp:extent cx="5142230" cy="3375025"/>
            <wp:effectExtent l="19050" t="0" r="1270" b="0"/>
            <wp:wrapThrough wrapText="bothSides">
              <wp:wrapPolygon edited="0">
                <wp:start x="-80" y="0"/>
                <wp:lineTo x="-80" y="21458"/>
                <wp:lineTo x="21605" y="21458"/>
                <wp:lineTo x="21605" y="0"/>
                <wp:lineTo x="-80" y="0"/>
              </wp:wrapPolygon>
            </wp:wrapThrough>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142230" cy="3375025"/>
                    </a:xfrm>
                    <a:prstGeom prst="rect">
                      <a:avLst/>
                    </a:prstGeom>
                    <a:noFill/>
                    <a:ln w="9525">
                      <a:noFill/>
                      <a:miter lim="800000"/>
                      <a:headEnd/>
                      <a:tailEnd/>
                    </a:ln>
                  </pic:spPr>
                </pic:pic>
              </a:graphicData>
            </a:graphic>
          </wp:anchor>
        </w:drawing>
      </w:r>
    </w:p>
    <w:p>
      <w:pPr>
        <w:tabs>
          <w:tab w:val="left" w:pos="567"/>
        </w:tabs>
        <w:suppressAutoHyphens/>
        <w:spacing w:after="0" w:line="360" w:lineRule="auto"/>
        <w:jc w:val="both"/>
        <w:rPr>
          <w:rFonts w:ascii="Times New Roman" w:hAnsi="Times New Roman" w:cs="Times New Roman"/>
          <w:sz w:val="28"/>
          <w:szCs w:val="28"/>
        </w:rPr>
      </w:pPr>
      <w:r>
        <w:rPr>
          <w:rFonts w:ascii="Times New Roman" w:hAnsi="Times New Roman" w:cs="Times New Roman"/>
          <w:snapToGrid w:val="0"/>
          <w:sz w:val="28"/>
          <w:szCs w:val="28"/>
        </w:rPr>
        <w:t xml:space="preserve"> </w:t>
      </w: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r>
        <w:rPr>
          <w:rStyle w:val="tlid-translationtranslation"/>
          <w:rFonts w:ascii="Times New Roman" w:hAnsi="Times New Roman" w:cs="Times New Roman"/>
          <w:sz w:val="28"/>
          <w:szCs w:val="28"/>
        </w:rPr>
        <w:t xml:space="preserve">Рис 1. Корреляционная связь гипераммониемии с общей выраженностью ДС у больных с ОТО 1,4-БД в 1-е сутки, по шкале </w:t>
      </w:r>
      <w:r>
        <w:rPr>
          <w:rStyle w:val="tlid-translationtranslation"/>
          <w:rFonts w:ascii="Times New Roman" w:hAnsi="Times New Roman" w:cs="Times New Roman"/>
          <w:sz w:val="28"/>
          <w:szCs w:val="28"/>
          <w:lang w:val="en-US"/>
        </w:rPr>
        <w:t>DRS</w:t>
      </w:r>
      <w:r>
        <w:rPr>
          <w:rStyle w:val="tlid-translationtranslation"/>
          <w:rFonts w:ascii="Times New Roman" w:hAnsi="Times New Roman" w:cs="Times New Roman"/>
          <w:sz w:val="28"/>
          <w:szCs w:val="28"/>
        </w:rPr>
        <w:t>-</w:t>
      </w:r>
      <w:r>
        <w:rPr>
          <w:rStyle w:val="tlid-translationtranslation"/>
          <w:rFonts w:ascii="Times New Roman" w:hAnsi="Times New Roman" w:cs="Times New Roman"/>
          <w:sz w:val="28"/>
          <w:szCs w:val="28"/>
          <w:lang w:val="en-US"/>
        </w:rPr>
        <w:t>R</w:t>
      </w:r>
      <w:r>
        <w:rPr>
          <w:rStyle w:val="tlid-translationtranslation"/>
          <w:rFonts w:ascii="Times New Roman" w:hAnsi="Times New Roman" w:cs="Times New Roman"/>
          <w:sz w:val="28"/>
          <w:szCs w:val="28"/>
        </w:rPr>
        <w:t>-98</w:t>
      </w:r>
    </w:p>
    <w:p>
      <w:pPr>
        <w:suppressAutoHyphens/>
        <w:spacing w:after="0" w:line="360" w:lineRule="auto"/>
        <w:ind w:firstLine="567"/>
        <w:jc w:val="both"/>
        <w:rPr>
          <w:rFonts w:ascii="Times New Roman" w:hAnsi="Times New Roman" w:cs="Times New Roman"/>
          <w:sz w:val="28"/>
          <w:szCs w:val="28"/>
        </w:rPr>
      </w:pP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больных с выраженными признаками гипераммониемии наблюдали повышение уровня мочевины в крови до медианных значений в </w:t>
      </w:r>
      <w:r>
        <w:rPr>
          <w:rFonts w:ascii="Times New Roman" w:hAnsi="Times New Roman" w:cs="Times New Roman"/>
          <w:sz w:val="28"/>
          <w:szCs w:val="28"/>
          <w:lang w:val="en-US"/>
        </w:rPr>
        <w:t>I</w:t>
      </w:r>
      <w:r>
        <w:rPr>
          <w:rFonts w:ascii="Times New Roman" w:hAnsi="Times New Roman" w:cs="Times New Roman"/>
          <w:sz w:val="28"/>
          <w:szCs w:val="28"/>
        </w:rPr>
        <w:t xml:space="preserve"> группе 9 [8; 12], во </w:t>
      </w:r>
      <w:r>
        <w:rPr>
          <w:rFonts w:ascii="Times New Roman" w:hAnsi="Times New Roman" w:cs="Times New Roman"/>
          <w:sz w:val="28"/>
          <w:szCs w:val="28"/>
          <w:lang w:val="en-US"/>
        </w:rPr>
        <w:t>II</w:t>
      </w:r>
      <w:r>
        <w:rPr>
          <w:rFonts w:ascii="Times New Roman" w:hAnsi="Times New Roman" w:cs="Times New Roman"/>
          <w:sz w:val="28"/>
          <w:szCs w:val="28"/>
        </w:rPr>
        <w:t xml:space="preserve"> группе до 9,6 [7; 12,6] ммоль/л в прямой связи с уровнем аммиака в капиллярной крови (</w:t>
      </w:r>
      <w:r>
        <w:rPr>
          <w:rFonts w:ascii="Times New Roman" w:hAnsi="Times New Roman" w:cs="Times New Roman"/>
          <w:sz w:val="28"/>
          <w:szCs w:val="28"/>
          <w:lang w:val="en-US"/>
        </w:rPr>
        <w:t>r</w:t>
      </w:r>
      <w:r>
        <w:rPr>
          <w:rFonts w:ascii="Times New Roman" w:hAnsi="Times New Roman" w:cs="Times New Roman"/>
          <w:sz w:val="28"/>
          <w:szCs w:val="28"/>
        </w:rPr>
        <w:t xml:space="preserve"> = 0,79; </w:t>
      </w:r>
      <w:r>
        <w:rPr>
          <w:rFonts w:ascii="Times New Roman" w:hAnsi="Times New Roman" w:cs="Times New Roman"/>
          <w:sz w:val="28"/>
          <w:szCs w:val="28"/>
          <w:lang w:val="en-US"/>
        </w:rPr>
        <w:t>p</w:t>
      </w:r>
      <w:r>
        <w:rPr>
          <w:rFonts w:ascii="Times New Roman" w:hAnsi="Times New Roman" w:cs="Times New Roman"/>
          <w:sz w:val="28"/>
          <w:szCs w:val="28"/>
        </w:rPr>
        <w:t xml:space="preserve"> = 0,001).</w:t>
      </w: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I</w:t>
      </w:r>
      <w:r>
        <w:rPr>
          <w:rFonts w:ascii="Times New Roman" w:hAnsi="Times New Roman" w:cs="Times New Roman"/>
          <w:sz w:val="28"/>
          <w:szCs w:val="28"/>
        </w:rPr>
        <w:t xml:space="preserve"> группе на фоне </w:t>
      </w:r>
      <w:r>
        <w:rPr>
          <w:rStyle w:val="tlid-translationtranslation"/>
          <w:rFonts w:ascii="Times New Roman" w:hAnsi="Times New Roman" w:cs="Times New Roman"/>
          <w:sz w:val="28"/>
          <w:szCs w:val="28"/>
        </w:rPr>
        <w:t>использования аргинина глутамата в</w:t>
      </w:r>
      <w:r>
        <w:rPr>
          <w:rFonts w:ascii="Times New Roman" w:hAnsi="Times New Roman" w:cs="Times New Roman"/>
          <w:sz w:val="28"/>
          <w:szCs w:val="28"/>
        </w:rPr>
        <w:t xml:space="preserve"> сочетание со стандартными методами интенсивной терапии к 5-м суткам концентрация аммиака снизилась на 16,3%, до 82 [66; 87] мкмоль/л, в сравнении с 3-ми сутками наблюдения, к 7-м суткам на 42,8%, до 56 [29; 62] мкмоль/л, в сравнении с 3-ми сутками и на 20,5%, в сравнении с 1-ми сутками. Положительная тенденция отмечалась и в клинической картине ДС, общий балл по шкале </w:t>
      </w:r>
      <w:r>
        <w:rPr>
          <w:rFonts w:ascii="Times New Roman" w:hAnsi="Times New Roman" w:cs="Times New Roman"/>
          <w:sz w:val="28"/>
          <w:szCs w:val="28"/>
          <w:lang w:val="en-US"/>
        </w:rPr>
        <w:t>DRS</w:t>
      </w:r>
      <w:r>
        <w:rPr>
          <w:rFonts w:ascii="Times New Roman" w:hAnsi="Times New Roman" w:cs="Times New Roman"/>
          <w:sz w:val="28"/>
          <w:szCs w:val="28"/>
        </w:rPr>
        <w:t>-</w:t>
      </w:r>
      <w:r>
        <w:rPr>
          <w:rFonts w:ascii="Times New Roman" w:hAnsi="Times New Roman" w:cs="Times New Roman"/>
          <w:sz w:val="28"/>
          <w:szCs w:val="28"/>
          <w:lang w:val="en-US"/>
        </w:rPr>
        <w:t>R</w:t>
      </w:r>
      <w:r>
        <w:rPr>
          <w:rFonts w:ascii="Times New Roman" w:hAnsi="Times New Roman" w:cs="Times New Roman"/>
          <w:sz w:val="28"/>
          <w:szCs w:val="28"/>
        </w:rPr>
        <w:t xml:space="preserve">-98 снизился к 5 суткам на 18,3%, до </w:t>
      </w:r>
      <w:r>
        <w:rPr>
          <w:rFonts w:ascii="Times New Roman" w:hAnsi="Times New Roman" w:cs="Times New Roman"/>
          <w:color w:val="000000" w:themeColor="text1"/>
          <w:sz w:val="28"/>
          <w:szCs w:val="28"/>
        </w:rPr>
        <w:t xml:space="preserve">17,3 [14,1; 19,4] баллов, </w:t>
      </w:r>
      <w:r>
        <w:rPr>
          <w:rFonts w:ascii="Times New Roman" w:hAnsi="Times New Roman" w:cs="Times New Roman"/>
          <w:sz w:val="28"/>
          <w:szCs w:val="28"/>
        </w:rPr>
        <w:t xml:space="preserve">к 7-м суткам на 33,4%, до </w:t>
      </w:r>
      <w:r>
        <w:rPr>
          <w:rFonts w:ascii="Times New Roman" w:hAnsi="Times New Roman" w:cs="Times New Roman"/>
          <w:color w:val="000000" w:themeColor="text1"/>
          <w:sz w:val="28"/>
          <w:szCs w:val="28"/>
        </w:rPr>
        <w:t>14,1 [10,5; 13,3] баллов</w:t>
      </w:r>
      <w:r>
        <w:rPr>
          <w:rFonts w:ascii="Times New Roman" w:hAnsi="Times New Roman" w:cs="Times New Roman"/>
          <w:sz w:val="28"/>
          <w:szCs w:val="28"/>
        </w:rPr>
        <w:t>.</w:t>
      </w: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Во </w:t>
      </w:r>
      <w:r>
        <w:rPr>
          <w:rFonts w:ascii="Times New Roman" w:hAnsi="Times New Roman" w:cs="Times New Roman"/>
          <w:sz w:val="28"/>
          <w:szCs w:val="28"/>
          <w:lang w:val="en-US"/>
        </w:rPr>
        <w:t>II</w:t>
      </w:r>
      <w:r>
        <w:rPr>
          <w:rFonts w:ascii="Times New Roman" w:hAnsi="Times New Roman" w:cs="Times New Roman"/>
          <w:sz w:val="28"/>
          <w:szCs w:val="28"/>
        </w:rPr>
        <w:t xml:space="preserve"> группе, сохранялись высокие показатели свободного аммиака в крови к 5-м суткам лечения, на фоне высокой активности трансаминаз и мочевины.  Следует обратить внимание на </w:t>
      </w:r>
      <w:r>
        <w:rPr>
          <w:rFonts w:ascii="Times New Roman" w:hAnsi="Times New Roman" w:cs="Times New Roman"/>
          <w:color w:val="000000" w:themeColor="text1"/>
          <w:sz w:val="28"/>
          <w:szCs w:val="28"/>
        </w:rPr>
        <w:t xml:space="preserve">снижение концентрации альбумина в крови в группе сравнения к 7-м суткам до 35,2 [34,2; 37,6] г/л. Делириозная </w:t>
      </w:r>
      <w:r>
        <w:rPr>
          <w:rFonts w:ascii="Times New Roman" w:hAnsi="Times New Roman" w:cs="Times New Roman"/>
          <w:color w:val="000000" w:themeColor="text1"/>
          <w:sz w:val="28"/>
          <w:szCs w:val="28"/>
        </w:rPr>
        <w:lastRenderedPageBreak/>
        <w:t>симптоматика, в данной группе, сохраняла свою активность вплоть до окончания 7-х суток лечения.</w:t>
      </w:r>
    </w:p>
    <w:p>
      <w:pPr>
        <w:suppressAutoHyphens/>
        <w:spacing w:after="0" w:line="360" w:lineRule="auto"/>
        <w:ind w:firstLine="567"/>
        <w:jc w:val="both"/>
        <w:rPr>
          <w:rFonts w:ascii="Times New Roman" w:eastAsia="Newton-Italic" w:hAnsi="Times New Roman" w:cs="Times New Roman"/>
          <w:color w:val="000000" w:themeColor="text1"/>
          <w:sz w:val="28"/>
          <w:szCs w:val="28"/>
        </w:rPr>
      </w:pPr>
      <w:r>
        <w:rPr>
          <w:rFonts w:ascii="Times New Roman" w:hAnsi="Times New Roman" w:cs="Times New Roman"/>
          <w:color w:val="000000" w:themeColor="text1"/>
          <w:sz w:val="28"/>
          <w:szCs w:val="28"/>
        </w:rPr>
        <w:t>В группе с использованием аргинина глутамата тканевая гипоксия отчетливо выделялась в 1 и 3-е сутки наблюдения, затем концентрация лактата снизилась до нормальных значений к 7-м суткам. В группе сравнения лактатацидоз наблюдали до 7 суток. При межгрупповом сравнении в основной группе диагностировали наименьшую концентрацию лактата в капиллярной крови уже, начиная с 3-х суток от начала использования препарата.</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Динамика показателей, отражающих эффективность проводимой терапии представлена в таблице 3. Как видно из таблицы 3, на фоне терапии аргинина глутаматом удалось снизить длительность ДС до 7,57 ± 3,2 суток (</w:t>
      </w:r>
      <w:r>
        <w:rPr>
          <w:rFonts w:ascii="Times New Roman" w:hAnsi="Times New Roman" w:cs="Times New Roman"/>
          <w:sz w:val="28"/>
          <w:szCs w:val="28"/>
          <w:lang w:val="en-US"/>
        </w:rPr>
        <w:t>p</w:t>
      </w:r>
      <w:r>
        <w:rPr>
          <w:rFonts w:ascii="Times New Roman" w:hAnsi="Times New Roman" w:cs="Times New Roman"/>
          <w:sz w:val="28"/>
          <w:szCs w:val="28"/>
        </w:rPr>
        <w:t xml:space="preserve"> = 0,012), уменьшить явления астенического синдрома и психооганического синдрома в ранний постпсихотический период, избежать летальных исходов. Осложнения ДС в обеих группах наблюдали в равных соотношениях, статистически не отличающихся между собой.</w:t>
      </w:r>
    </w:p>
    <w:p>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3</w:t>
      </w: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Динамика показателей отражающих эффективность проводимой терапии </w:t>
      </w:r>
    </w:p>
    <w:tbl>
      <w:tblPr>
        <w:tblStyle w:val="af0"/>
        <w:tblW w:w="0" w:type="auto"/>
        <w:jc w:val="center"/>
        <w:tblLook w:val="04A0"/>
      </w:tblPr>
      <w:tblGrid>
        <w:gridCol w:w="5103"/>
        <w:gridCol w:w="1336"/>
        <w:gridCol w:w="1499"/>
        <w:gridCol w:w="1614"/>
      </w:tblGrid>
      <w:tr>
        <w:trPr>
          <w:trHeight w:val="331"/>
          <w:jc w:val="center"/>
        </w:trPr>
        <w:tc>
          <w:tcPr>
            <w:tcW w:w="5103" w:type="dxa"/>
            <w:vMerge w:val="restart"/>
            <w:vAlign w:val="center"/>
          </w:tcPr>
          <w:p>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2835" w:type="dxa"/>
            <w:gridSpan w:val="2"/>
            <w:vAlign w:val="center"/>
          </w:tcPr>
          <w:p>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Группы больных</w:t>
            </w:r>
          </w:p>
        </w:tc>
        <w:tc>
          <w:tcPr>
            <w:tcW w:w="1614" w:type="dxa"/>
            <w:vMerge w:val="restart"/>
            <w:vAlign w:val="center"/>
          </w:tcPr>
          <w:p>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Достоверные различия, </w:t>
            </w:r>
            <w:r>
              <w:rPr>
                <w:rFonts w:ascii="Times New Roman" w:hAnsi="Times New Roman" w:cs="Times New Roman"/>
                <w:sz w:val="24"/>
                <w:szCs w:val="24"/>
                <w:lang w:val="en-US"/>
              </w:rPr>
              <w:t>p</w:t>
            </w:r>
          </w:p>
        </w:tc>
      </w:tr>
      <w:tr>
        <w:trPr>
          <w:trHeight w:val="331"/>
          <w:jc w:val="center"/>
        </w:trPr>
        <w:tc>
          <w:tcPr>
            <w:tcW w:w="5103" w:type="dxa"/>
            <w:vMerge/>
            <w:vAlign w:val="center"/>
          </w:tcPr>
          <w:p>
            <w:pPr>
              <w:suppressAutoHyphens/>
              <w:spacing w:line="360" w:lineRule="auto"/>
              <w:jc w:val="center"/>
              <w:rPr>
                <w:rFonts w:ascii="Times New Roman" w:hAnsi="Times New Roman" w:cs="Times New Roman"/>
                <w:sz w:val="24"/>
                <w:szCs w:val="24"/>
              </w:rPr>
            </w:pPr>
          </w:p>
        </w:tc>
        <w:tc>
          <w:tcPr>
            <w:tcW w:w="1336" w:type="dxa"/>
            <w:vAlign w:val="center"/>
          </w:tcPr>
          <w:p>
            <w:pPr>
              <w:suppressAutoHyphen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n</w:t>
            </w:r>
            <w:r>
              <w:rPr>
                <w:rFonts w:ascii="Times New Roman" w:hAnsi="Times New Roman" w:cs="Times New Roman"/>
                <w:sz w:val="24"/>
                <w:szCs w:val="24"/>
              </w:rPr>
              <w:t xml:space="preserve"> = </w:t>
            </w:r>
            <w:r>
              <w:rPr>
                <w:rFonts w:ascii="Times New Roman" w:hAnsi="Times New Roman" w:cs="Times New Roman"/>
                <w:sz w:val="24"/>
                <w:szCs w:val="24"/>
                <w:lang w:val="en-US"/>
              </w:rPr>
              <w:t>30)</w:t>
            </w:r>
          </w:p>
        </w:tc>
        <w:tc>
          <w:tcPr>
            <w:tcW w:w="1499" w:type="dxa"/>
            <w:vAlign w:val="center"/>
          </w:tcPr>
          <w:p>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n</w:t>
            </w:r>
            <w:r>
              <w:rPr>
                <w:rFonts w:ascii="Times New Roman" w:hAnsi="Times New Roman" w:cs="Times New Roman"/>
                <w:sz w:val="24"/>
                <w:szCs w:val="24"/>
              </w:rPr>
              <w:t xml:space="preserve"> = </w:t>
            </w:r>
            <w:r>
              <w:rPr>
                <w:rFonts w:ascii="Times New Roman" w:hAnsi="Times New Roman" w:cs="Times New Roman"/>
                <w:sz w:val="24"/>
                <w:szCs w:val="24"/>
                <w:lang w:val="en-US"/>
              </w:rPr>
              <w:t>29)</w:t>
            </w:r>
          </w:p>
        </w:tc>
        <w:tc>
          <w:tcPr>
            <w:tcW w:w="1614" w:type="dxa"/>
            <w:vMerge/>
            <w:vAlign w:val="center"/>
          </w:tcPr>
          <w:p>
            <w:pPr>
              <w:suppressAutoHyphens/>
              <w:spacing w:line="360" w:lineRule="auto"/>
              <w:jc w:val="both"/>
              <w:rPr>
                <w:rFonts w:ascii="Times New Roman" w:hAnsi="Times New Roman" w:cs="Times New Roman"/>
                <w:sz w:val="24"/>
                <w:szCs w:val="24"/>
              </w:rPr>
            </w:pPr>
          </w:p>
        </w:tc>
      </w:tr>
      <w:tr>
        <w:trPr>
          <w:trHeight w:val="352"/>
          <w:jc w:val="center"/>
        </w:trPr>
        <w:tc>
          <w:tcPr>
            <w:tcW w:w="5103"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Длительность делирия, дни</w:t>
            </w:r>
          </w:p>
        </w:tc>
        <w:tc>
          <w:tcPr>
            <w:tcW w:w="1336"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7,57 ± 3,2</w:t>
            </w:r>
          </w:p>
        </w:tc>
        <w:tc>
          <w:tcPr>
            <w:tcW w:w="1499"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12,1 ± 5,5</w:t>
            </w:r>
          </w:p>
        </w:tc>
        <w:tc>
          <w:tcPr>
            <w:tcW w:w="1614"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0,012</w:t>
            </w:r>
          </w:p>
        </w:tc>
      </w:tr>
      <w:tr>
        <w:trPr>
          <w:trHeight w:val="583"/>
          <w:jc w:val="center"/>
        </w:trPr>
        <w:tc>
          <w:tcPr>
            <w:tcW w:w="5103"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Осложнения делирия, в % к общему количеству пациентов в группе</w:t>
            </w:r>
          </w:p>
        </w:tc>
        <w:tc>
          <w:tcPr>
            <w:tcW w:w="1336"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16,6</w:t>
            </w:r>
          </w:p>
        </w:tc>
        <w:tc>
          <w:tcPr>
            <w:tcW w:w="1499"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27,5</w:t>
            </w:r>
          </w:p>
        </w:tc>
        <w:tc>
          <w:tcPr>
            <w:tcW w:w="1614"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0,31</w:t>
            </w:r>
          </w:p>
        </w:tc>
      </w:tr>
      <w:tr>
        <w:trPr>
          <w:trHeight w:val="703"/>
          <w:jc w:val="center"/>
        </w:trPr>
        <w:tc>
          <w:tcPr>
            <w:tcW w:w="5103"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Летальный исход, в % к общему количеству пациентов в группе</w:t>
            </w:r>
          </w:p>
        </w:tc>
        <w:tc>
          <w:tcPr>
            <w:tcW w:w="1336"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3,4</w:t>
            </w:r>
          </w:p>
        </w:tc>
        <w:tc>
          <w:tcPr>
            <w:tcW w:w="1499"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0</w:t>
            </w:r>
          </w:p>
        </w:tc>
        <w:tc>
          <w:tcPr>
            <w:tcW w:w="1614"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0,30</w:t>
            </w:r>
          </w:p>
        </w:tc>
      </w:tr>
      <w:tr>
        <w:trPr>
          <w:trHeight w:val="815"/>
          <w:jc w:val="center"/>
        </w:trPr>
        <w:tc>
          <w:tcPr>
            <w:tcW w:w="5103"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 xml:space="preserve">Выраженность психоорганического синдрома на 7-е сутки обследования, по шкале </w:t>
            </w:r>
            <w:r>
              <w:rPr>
                <w:rFonts w:ascii="Times New Roman" w:hAnsi="Times New Roman" w:cs="Times New Roman"/>
                <w:sz w:val="24"/>
                <w:szCs w:val="24"/>
                <w:lang w:val="en-US"/>
              </w:rPr>
              <w:t>MMSE</w:t>
            </w:r>
            <w:r>
              <w:rPr>
                <w:rFonts w:ascii="Times New Roman" w:hAnsi="Times New Roman" w:cs="Times New Roman"/>
                <w:sz w:val="24"/>
                <w:szCs w:val="24"/>
              </w:rPr>
              <w:t>, балл</w:t>
            </w:r>
          </w:p>
        </w:tc>
        <w:tc>
          <w:tcPr>
            <w:tcW w:w="1336" w:type="dxa"/>
            <w:vAlign w:val="center"/>
          </w:tcPr>
          <w:p>
            <w:pPr>
              <w:suppressAutoHyphens/>
              <w:jc w:val="both"/>
              <w:rPr>
                <w:rFonts w:ascii="Times New Roman" w:hAnsi="Times New Roman" w:cs="Times New Roman"/>
                <w:sz w:val="24"/>
                <w:szCs w:val="24"/>
              </w:rPr>
            </w:pPr>
            <w:r>
              <w:rPr>
                <w:rFonts w:ascii="Times New Roman" w:hAnsi="Times New Roman" w:cs="Times New Roman"/>
                <w:sz w:val="24"/>
                <w:szCs w:val="24"/>
              </w:rPr>
              <w:t>24,3 ± 0,4</w:t>
            </w:r>
          </w:p>
        </w:tc>
        <w:tc>
          <w:tcPr>
            <w:tcW w:w="1499" w:type="dxa"/>
            <w:vAlign w:val="center"/>
          </w:tcPr>
          <w:p>
            <w:pPr>
              <w:suppressAutoHyphens/>
              <w:jc w:val="both"/>
              <w:rPr>
                <w:rFonts w:ascii="Times New Roman" w:hAnsi="Times New Roman" w:cs="Times New Roman"/>
                <w:sz w:val="24"/>
                <w:szCs w:val="24"/>
              </w:rPr>
            </w:pPr>
            <w:r>
              <w:rPr>
                <w:rFonts w:ascii="Times New Roman" w:hAnsi="Times New Roman" w:cs="Times New Roman"/>
                <w:sz w:val="24"/>
                <w:szCs w:val="24"/>
              </w:rPr>
              <w:t>22,1 ± 0,5</w:t>
            </w:r>
          </w:p>
        </w:tc>
        <w:tc>
          <w:tcPr>
            <w:tcW w:w="1614" w:type="dxa"/>
            <w:vAlign w:val="center"/>
          </w:tcPr>
          <w:p>
            <w:pPr>
              <w:suppressAutoHyphens/>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0</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 10 </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c>
      </w:tr>
      <w:tr>
        <w:trPr>
          <w:trHeight w:val="840"/>
          <w:jc w:val="center"/>
        </w:trPr>
        <w:tc>
          <w:tcPr>
            <w:tcW w:w="5103"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Тяжелая постпсихотической астения (по Абрамовой Т.А., 2006), в % к общему количеству пациентов в группе</w:t>
            </w:r>
          </w:p>
        </w:tc>
        <w:tc>
          <w:tcPr>
            <w:tcW w:w="1336"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20</w:t>
            </w:r>
          </w:p>
        </w:tc>
        <w:tc>
          <w:tcPr>
            <w:tcW w:w="1499"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41,3</w:t>
            </w:r>
          </w:p>
        </w:tc>
        <w:tc>
          <w:tcPr>
            <w:tcW w:w="1614" w:type="dxa"/>
            <w:vAlign w:val="center"/>
          </w:tcPr>
          <w:p>
            <w:pPr>
              <w:suppressAutoHyphens/>
              <w:jc w:val="center"/>
              <w:rPr>
                <w:rFonts w:ascii="Times New Roman" w:hAnsi="Times New Roman" w:cs="Times New Roman"/>
                <w:sz w:val="24"/>
                <w:szCs w:val="24"/>
              </w:rPr>
            </w:pPr>
            <w:r>
              <w:rPr>
                <w:rFonts w:ascii="Times New Roman" w:hAnsi="Times New Roman" w:cs="Times New Roman"/>
                <w:sz w:val="24"/>
                <w:szCs w:val="24"/>
              </w:rPr>
              <w:t>0,003</w:t>
            </w:r>
          </w:p>
        </w:tc>
      </w:tr>
    </w:tbl>
    <w:p>
      <w:pPr>
        <w:tabs>
          <w:tab w:val="left" w:pos="567"/>
        </w:tabs>
        <w:suppressAutoHyphens/>
        <w:autoSpaceDE w:val="0"/>
        <w:spacing w:after="0" w:line="360" w:lineRule="auto"/>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Изменения по шкале общего клинического впечатления (</w:t>
      </w:r>
      <w:r>
        <w:rPr>
          <w:rFonts w:ascii="Times New Roman" w:hAnsi="Times New Roman" w:cs="Times New Roman"/>
          <w:sz w:val="28"/>
          <w:szCs w:val="28"/>
          <w:lang w:val="en-US"/>
        </w:rPr>
        <w:t>CGI</w:t>
      </w:r>
      <w:r>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предоставлены на рисунке 2.</w:t>
      </w:r>
    </w:p>
    <w:p>
      <w:pPr>
        <w:tabs>
          <w:tab w:val="left" w:pos="567"/>
        </w:tabs>
        <w:suppressAutoHyphens/>
        <w:autoSpaceDE w:val="0"/>
        <w:spacing w:after="0" w:line="360" w:lineRule="auto"/>
        <w:ind w:firstLine="567"/>
        <w:jc w:val="both"/>
        <w:rPr>
          <w:rFonts w:ascii="Times New Roman" w:hAnsi="Times New Roman" w:cs="Times New Roman"/>
          <w:noProof/>
          <w:sz w:val="28"/>
          <w:szCs w:val="28"/>
          <w:lang w:eastAsia="ru-RU"/>
        </w:rPr>
      </w:pP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1010920</wp:posOffset>
            </wp:positionH>
            <wp:positionV relativeFrom="paragraph">
              <wp:posOffset>-635</wp:posOffset>
            </wp:positionV>
            <wp:extent cx="4465320" cy="2752725"/>
            <wp:effectExtent l="19050" t="0" r="0" b="0"/>
            <wp:wrapThrough wrapText="bothSides">
              <wp:wrapPolygon edited="0">
                <wp:start x="-92" y="0"/>
                <wp:lineTo x="-92" y="21525"/>
                <wp:lineTo x="21563" y="21525"/>
                <wp:lineTo x="21563" y="0"/>
                <wp:lineTo x="-92" y="0"/>
              </wp:wrapPolygon>
            </wp:wrapThrough>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465320" cy="2752725"/>
                    </a:xfrm>
                    <a:prstGeom prst="rect">
                      <a:avLst/>
                    </a:prstGeom>
                    <a:noFill/>
                    <a:ln w="9525">
                      <a:noFill/>
                      <a:miter lim="800000"/>
                      <a:headEnd/>
                      <a:tailEnd/>
                    </a:ln>
                  </pic:spPr>
                </pic:pic>
              </a:graphicData>
            </a:graphic>
          </wp:anchor>
        </w:drawing>
      </w: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Рис. 2. Динамика средних значений баллов (</w:t>
      </w:r>
      <w:r>
        <w:rPr>
          <w:rFonts w:ascii="Times New Roman" w:hAnsi="Times New Roman" w:cs="Times New Roman"/>
          <w:sz w:val="28"/>
          <w:szCs w:val="28"/>
          <w:lang w:val="en-US"/>
        </w:rPr>
        <w:t>M</w:t>
      </w:r>
      <w:r>
        <w:rPr>
          <w:rFonts w:ascii="Times New Roman" w:hAnsi="Times New Roman" w:cs="Times New Roman"/>
          <w:sz w:val="28"/>
          <w:szCs w:val="28"/>
        </w:rPr>
        <w:t xml:space="preserve"> ± </w:t>
      </w:r>
      <w:r>
        <w:rPr>
          <w:rFonts w:ascii="Times New Roman" w:hAnsi="Times New Roman" w:cs="Times New Roman"/>
          <w:sz w:val="28"/>
          <w:szCs w:val="28"/>
          <w:lang w:val="en-US"/>
        </w:rPr>
        <w:t>SD</w:t>
      </w:r>
      <w:r>
        <w:rPr>
          <w:rFonts w:ascii="Times New Roman" w:hAnsi="Times New Roman" w:cs="Times New Roman"/>
          <w:sz w:val="28"/>
          <w:szCs w:val="28"/>
        </w:rPr>
        <w:t>) по шкале общего клинического впечатления (</w:t>
      </w:r>
      <w:r>
        <w:rPr>
          <w:rFonts w:ascii="Times New Roman" w:hAnsi="Times New Roman" w:cs="Times New Roman"/>
          <w:sz w:val="28"/>
          <w:szCs w:val="28"/>
          <w:lang w:val="en-US"/>
        </w:rPr>
        <w:t>CGI</w:t>
      </w:r>
      <w:r>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на фоне терапии аргинина глутаматом.</w:t>
      </w:r>
    </w:p>
    <w:p>
      <w:pPr>
        <w:suppressAutoHyphens/>
        <w:spacing w:after="0" w:line="240" w:lineRule="auto"/>
        <w:ind w:firstLine="567"/>
        <w:jc w:val="both"/>
        <w:rPr>
          <w:rFonts w:ascii="Times New Roman" w:hAnsi="Times New Roman" w:cs="Times New Roman"/>
        </w:rPr>
      </w:pPr>
      <w:r>
        <w:rPr>
          <w:rFonts w:ascii="Times New Roman" w:hAnsi="Times New Roman" w:cs="Times New Roman"/>
        </w:rPr>
        <w:t xml:space="preserve">Примечание: белым цветом демонстрируются изменения в </w:t>
      </w:r>
      <w:r>
        <w:rPr>
          <w:rFonts w:ascii="Times New Roman" w:hAnsi="Times New Roman" w:cs="Times New Roman"/>
          <w:lang w:val="en-US"/>
        </w:rPr>
        <w:t>I</w:t>
      </w:r>
      <w:r>
        <w:rPr>
          <w:rFonts w:ascii="Times New Roman" w:hAnsi="Times New Roman" w:cs="Times New Roman"/>
        </w:rPr>
        <w:t xml:space="preserve"> группе, черным цветом изменения во </w:t>
      </w:r>
      <w:r>
        <w:rPr>
          <w:rFonts w:ascii="Times New Roman" w:hAnsi="Times New Roman" w:cs="Times New Roman"/>
          <w:lang w:val="en-US"/>
        </w:rPr>
        <w:t>II</w:t>
      </w:r>
      <w:r>
        <w:rPr>
          <w:rFonts w:ascii="Times New Roman" w:hAnsi="Times New Roman" w:cs="Times New Roman"/>
        </w:rPr>
        <w:t xml:space="preserve"> группе; на оси абсцисс представлены дни лечения (сутки).</w:t>
      </w:r>
    </w:p>
    <w:p>
      <w:pPr>
        <w:tabs>
          <w:tab w:val="left" w:pos="567"/>
        </w:tabs>
        <w:suppressAutoHyphens/>
        <w:autoSpaceDE w:val="0"/>
        <w:spacing w:after="0" w:line="360" w:lineRule="auto"/>
        <w:ind w:firstLine="567"/>
        <w:jc w:val="both"/>
        <w:rPr>
          <w:rFonts w:ascii="Times New Roman" w:hAnsi="Times New Roman" w:cs="Times New Roman"/>
          <w:sz w:val="28"/>
          <w:szCs w:val="28"/>
        </w:rPr>
      </w:pPr>
    </w:p>
    <w:p>
      <w:pPr>
        <w:tabs>
          <w:tab w:val="left" w:pos="567"/>
        </w:tabs>
        <w:suppressAutoHyphens/>
        <w:autoSpaceDE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общего клинического впечатления получили  достоверные отличия, свидетельствующие об улучшении общего функционального состояния пациентов </w:t>
      </w:r>
      <w:r>
        <w:rPr>
          <w:rFonts w:ascii="Times New Roman" w:hAnsi="Times New Roman" w:cs="Times New Roman"/>
          <w:sz w:val="28"/>
          <w:szCs w:val="28"/>
          <w:lang w:val="en-US"/>
        </w:rPr>
        <w:t>I</w:t>
      </w:r>
      <w:r>
        <w:rPr>
          <w:rFonts w:ascii="Times New Roman" w:hAnsi="Times New Roman" w:cs="Times New Roman"/>
          <w:sz w:val="28"/>
          <w:szCs w:val="28"/>
        </w:rPr>
        <w:t xml:space="preserve"> группе с 5 суток лечения аргинина глутаматом, в сравнении с </w:t>
      </w:r>
      <w:r>
        <w:rPr>
          <w:rFonts w:ascii="Times New Roman" w:hAnsi="Times New Roman" w:cs="Times New Roman"/>
          <w:sz w:val="28"/>
          <w:szCs w:val="28"/>
          <w:lang w:val="en-US"/>
        </w:rPr>
        <w:t>II</w:t>
      </w:r>
      <w:r>
        <w:rPr>
          <w:rFonts w:ascii="Times New Roman" w:hAnsi="Times New Roman" w:cs="Times New Roman"/>
          <w:sz w:val="28"/>
          <w:szCs w:val="28"/>
        </w:rPr>
        <w:t xml:space="preserve"> группой.</w:t>
      </w: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Таким образом, анализ лечения пациентов с ОТО 1,4-БД, осложненным ДС, позволил получить следующие результаты: наиболее часто у больных впервые сутки делирия диагностировали транзиторную гипераммониемию средней выраженности по классификации, предложенной Лазебник Л.Б. и соавт. (2019) [17] с синдром печеночно-клеточной недостаточности; ДС отличался затяжным течением с выраженной стадией психоза; использование гепатопротектора на основе соединения аргинина и глутаминовой кислоты «Глутаргина» позволило скорректировать нарушения обменных процессов и значительно уменьшить длительность экзогенного психоза. </w:t>
      </w:r>
      <w:r>
        <w:rPr>
          <w:rFonts w:ascii="Times New Roman" w:hAnsi="Times New Roman" w:cs="Times New Roman"/>
          <w:color w:val="000000" w:themeColor="text1"/>
          <w:sz w:val="28"/>
          <w:szCs w:val="28"/>
        </w:rPr>
        <w:t xml:space="preserve">Фактором повышение свободного аммиака в крови стал катаболизм белков, ведущий к снижению уровня альбумина в крови к 7-м суткам наблюдения. Известно, что в интенсивно работающих мышцах гидролитическое дезаминирование приводит к гипераммониемии [18]. У больных с ДС диагностировали активное мышечное </w:t>
      </w:r>
      <w:r>
        <w:rPr>
          <w:rFonts w:ascii="Times New Roman" w:hAnsi="Times New Roman" w:cs="Times New Roman"/>
          <w:color w:val="000000" w:themeColor="text1"/>
          <w:sz w:val="28"/>
          <w:szCs w:val="28"/>
        </w:rPr>
        <w:lastRenderedPageBreak/>
        <w:t>напряжение, беспокойное поведение, что на фоне гипоксии тканей приводило, также, к увеличению концентрации аммиака в капиллярной крови.</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Проведение обзора других исследований, посвященных изучению случаев формирования гипераммониемии у пациентов разного профиля, позволило выявить сопоставимость полученных результатов [19-21].</w:t>
      </w:r>
    </w:p>
    <w:p>
      <w:pPr>
        <w:suppressAutoHyphen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У больных с ДС в остром периоде наличие таких факторов как высокая концентрация аммиака и лактата в крови</w:t>
      </w:r>
      <w:r>
        <w:rPr>
          <w:rFonts w:ascii="Times New Roman" w:hAnsi="Times New Roman" w:cs="Times New Roman"/>
          <w:color w:val="000000" w:themeColor="text1"/>
          <w:sz w:val="28"/>
          <w:szCs w:val="28"/>
        </w:rPr>
        <w:t xml:space="preserve"> является показателем дезорганизации обменных процессов [22] и приводит к белково-энергетической недостаточности и затяжному течению психоза.</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Необходимо отметить, что и</w:t>
      </w:r>
      <w:r>
        <w:rPr>
          <w:rFonts w:ascii="Times New Roman" w:hAnsi="Times New Roman" w:cs="Times New Roman"/>
          <w:sz w:val="28"/>
          <w:szCs w:val="28"/>
        </w:rPr>
        <w:t>зменения метаболических процессов явились причиной и постинтоксикационных осложнений, выражающихся в тяжелой форме астении и формировании психоорганического синдромом ярко выраженных в группе больных не использующих аргинина глутамат.</w:t>
      </w:r>
    </w:p>
    <w:p>
      <w:pPr>
        <w:tabs>
          <w:tab w:val="left" w:pos="567"/>
        </w:tabs>
        <w:suppressAutoHyphens/>
        <w:autoSpaceDE w:val="0"/>
        <w:spacing w:after="0"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Заключение</w:t>
      </w:r>
    </w:p>
    <w:p>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Полученные в настоящем исследовании результаты демонстрируют высокую эффективность гепатопротектора на основе соединения аргинина и глутаминовой кислоты «Глутаргина» в отношении замедления прогрессирования клинического течения постинтоксикационного делирия при ОТО 1,4-БД.</w:t>
      </w:r>
    </w:p>
    <w:p>
      <w:pPr>
        <w:suppressAutoHyphens/>
        <w:spacing w:after="0" w:line="36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Использование в терапии ДС аргинина глутамата в суточной дозе 4 г способствовало более быстрой нормализации показателей активности ферментов крови, обезвреживанию свободного аммиака, редукции клинических проявлений психоза, уменьшению выраженности астении и психоорганического синдрома в постпсихотический период.</w:t>
      </w:r>
    </w:p>
    <w:p>
      <w:pPr>
        <w:suppressAutoHyphen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ЛИТЕРАТУРА </w:t>
      </w:r>
    </w:p>
    <w:p>
      <w:pPr>
        <w:pStyle w:val="af"/>
        <w:numPr>
          <w:ilvl w:val="0"/>
          <w:numId w:val="8"/>
        </w:numPr>
        <w:suppressAutoHyphen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Бабанин А.А., Уланов В.С. </w:t>
      </w:r>
      <w:r>
        <w:rPr>
          <w:rFonts w:ascii="Times New Roman" w:hAnsi="Times New Roman" w:cs="Times New Roman"/>
          <w:bCs/>
          <w:color w:val="000000" w:themeColor="text1"/>
          <w:sz w:val="28"/>
          <w:szCs w:val="28"/>
        </w:rPr>
        <w:t>Анализ смертельных отравлений психоактивными веществами в Республике Крым за 1993-2017 гг. Судебно-медицинская экспертиза. 2019; 62(5): 54-57</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Липанов Л.Л., Насыбуллин Г.М., Казанцев В.С. Распространенность потребления школьниками психоактивных веществ и многофакторный анализ </w:t>
      </w:r>
      <w:r>
        <w:rPr>
          <w:rFonts w:ascii="Times New Roman" w:hAnsi="Times New Roman" w:cs="Times New Roman"/>
          <w:bCs/>
          <w:color w:val="000000" w:themeColor="text1"/>
          <w:sz w:val="28"/>
          <w:szCs w:val="28"/>
        </w:rPr>
        <w:lastRenderedPageBreak/>
        <w:t xml:space="preserve">причин приобщения к алкоголю и табаку. Профилактическая и клиническая медицина. 2019; 1(70): 4-9 </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Лях А.О. Характеристика причин совершения преступлений в сфере незаконного оборота новых потенциально опасных психоактивных веществ. Студенческий форум. 2019; 5(56): 73-76</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color w:val="000000"/>
          <w:sz w:val="28"/>
          <w:szCs w:val="28"/>
          <w:shd w:val="clear" w:color="auto" w:fill="FFFFFF"/>
        </w:rPr>
        <w:t>Синенченко А.</w:t>
      </w:r>
      <w:r>
        <w:rPr>
          <w:rFonts w:ascii="Times New Roman" w:hAnsi="Times New Roman" w:cs="Times New Roman"/>
          <w:color w:val="000000"/>
          <w:sz w:val="28"/>
          <w:szCs w:val="28"/>
        </w:rPr>
        <w:t>Г., Лодягин А.Н., Батоцыренов Б.В., Балабанова О.Л. Эпидемиология острых отравлений гамма-гидроксимасляной кислотой в санкт-петербурге (по данным многопрофильного стационара). Токсикологический вестник. 2021;2:34-40.</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lang w:val="en-US"/>
        </w:rPr>
      </w:pPr>
      <w:r>
        <w:rPr>
          <w:rFonts w:ascii="Times New Roman" w:eastAsia="TimesNewRomanPSMT" w:hAnsi="Times New Roman" w:cs="Times New Roman"/>
          <w:color w:val="000000"/>
          <w:sz w:val="28"/>
          <w:szCs w:val="28"/>
          <w:lang w:val="en-US"/>
        </w:rPr>
        <w:t xml:space="preserve">Busardò F.P., Jones A.W. </w:t>
      </w:r>
      <w:r>
        <w:rPr>
          <w:rStyle w:val="highlight"/>
          <w:rFonts w:ascii="Times New Roman" w:hAnsi="Times New Roman" w:cs="Times New Roman"/>
          <w:color w:val="000000"/>
          <w:sz w:val="28"/>
          <w:szCs w:val="28"/>
          <w:lang w:val="en-US"/>
        </w:rPr>
        <w:t>Interpreting</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γ</w:t>
      </w:r>
      <w:r>
        <w:rPr>
          <w:rFonts w:ascii="Times New Roman" w:hAnsi="Times New Roman" w:cs="Times New Roman"/>
          <w:color w:val="000000"/>
          <w:sz w:val="28"/>
          <w:szCs w:val="28"/>
          <w:lang w:val="en-US"/>
        </w:rPr>
        <w:t xml:space="preserve">-hydroxybutyrate </w:t>
      </w:r>
      <w:r>
        <w:rPr>
          <w:rStyle w:val="highlight"/>
          <w:rFonts w:ascii="Times New Roman" w:hAnsi="Times New Roman" w:cs="Times New Roman"/>
          <w:color w:val="000000"/>
          <w:sz w:val="28"/>
          <w:szCs w:val="28"/>
          <w:lang w:val="en-US"/>
        </w:rPr>
        <w:t>concentrations</w:t>
      </w:r>
      <w:r>
        <w:rPr>
          <w:rFonts w:ascii="Times New Roman" w:hAnsi="Times New Roman" w:cs="Times New Roman"/>
          <w:color w:val="000000"/>
          <w:sz w:val="28"/>
          <w:szCs w:val="28"/>
          <w:lang w:val="en-US"/>
        </w:rPr>
        <w:t xml:space="preserve"> for </w:t>
      </w:r>
      <w:r>
        <w:rPr>
          <w:rStyle w:val="highlight"/>
          <w:rFonts w:ascii="Times New Roman" w:hAnsi="Times New Roman" w:cs="Times New Roman"/>
          <w:color w:val="000000"/>
          <w:sz w:val="28"/>
          <w:szCs w:val="28"/>
          <w:lang w:val="en-US"/>
        </w:rPr>
        <w:t xml:space="preserve">clinical </w:t>
      </w:r>
      <w:r>
        <w:rPr>
          <w:rFonts w:ascii="Times New Roman" w:hAnsi="Times New Roman" w:cs="Times New Roman"/>
          <w:color w:val="000000"/>
          <w:sz w:val="28"/>
          <w:szCs w:val="28"/>
          <w:lang w:val="en-US"/>
        </w:rPr>
        <w:t xml:space="preserve">and </w:t>
      </w:r>
      <w:r>
        <w:rPr>
          <w:rStyle w:val="highlight"/>
          <w:rFonts w:ascii="Times New Roman" w:hAnsi="Times New Roman" w:cs="Times New Roman"/>
          <w:color w:val="000000"/>
          <w:sz w:val="28"/>
          <w:szCs w:val="28"/>
          <w:lang w:val="en-US"/>
        </w:rPr>
        <w:t>forensic purposes</w:t>
      </w:r>
      <w:r>
        <w:rPr>
          <w:rFonts w:ascii="Times New Roman" w:hAnsi="Times New Roman" w:cs="Times New Roman"/>
          <w:color w:val="000000"/>
          <w:sz w:val="28"/>
          <w:szCs w:val="28"/>
          <w:lang w:val="en-US"/>
        </w:rPr>
        <w:t xml:space="preserve">. </w:t>
      </w:r>
      <w:hyperlink r:id="rId16" w:tooltip="Clinical toxicology (Philadelphia, Pa.)." w:history="1">
        <w:r>
          <w:rPr>
            <w:rStyle w:val="ad"/>
            <w:rFonts w:ascii="Times New Roman" w:hAnsi="Times New Roman" w:cs="Times New Roman"/>
            <w:color w:val="000000"/>
            <w:sz w:val="28"/>
            <w:szCs w:val="28"/>
            <w:lang w:val="en-US"/>
          </w:rPr>
          <w:t>Clin Toxicol (Phila).</w:t>
        </w:r>
      </w:hyperlink>
      <w:r>
        <w:t xml:space="preserve"> </w:t>
      </w:r>
      <w:r>
        <w:rPr>
          <w:rFonts w:ascii="Times New Roman" w:hAnsi="Times New Roman" w:cs="Times New Roman"/>
          <w:color w:val="000000"/>
          <w:sz w:val="28"/>
          <w:szCs w:val="28"/>
          <w:lang w:val="en-US"/>
        </w:rPr>
        <w:t>2019; 57(3):</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 xml:space="preserve">149-163. </w:t>
      </w:r>
      <w:hyperlink r:id="rId17" w:history="1">
        <w:r>
          <w:rPr>
            <w:rStyle w:val="ad"/>
            <w:rFonts w:ascii="Times New Roman" w:hAnsi="Times New Roman" w:cs="Times New Roman"/>
            <w:bCs/>
            <w:sz w:val="28"/>
            <w:szCs w:val="28"/>
            <w:lang w:val="en-US"/>
          </w:rPr>
          <w:t>https://doi:</w:t>
        </w:r>
        <w:r>
          <w:rPr>
            <w:rStyle w:val="ad"/>
            <w:rFonts w:ascii="Times New Roman" w:hAnsi="Times New Roman" w:cs="Times New Roman"/>
            <w:sz w:val="28"/>
            <w:szCs w:val="28"/>
            <w:lang w:val="en-US"/>
          </w:rPr>
          <w:t>10.1080/15563650.2018.1519194</w:t>
        </w:r>
      </w:hyperlink>
    </w:p>
    <w:p>
      <w:pPr>
        <w:pStyle w:val="af"/>
        <w:numPr>
          <w:ilvl w:val="0"/>
          <w:numId w:val="8"/>
        </w:numPr>
        <w:suppressAutoHyphens/>
        <w:autoSpaceDE w:val="0"/>
        <w:autoSpaceDN w:val="0"/>
        <w:adjustRightInd w:val="0"/>
        <w:spacing w:after="0" w:line="360" w:lineRule="auto"/>
        <w:ind w:left="0" w:firstLine="567"/>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Miró Ò., Galicia M., Dargan P., Dines A. M., Giraudon I. [et al.]. Intoxication by gamma hydroxybutyrate and related analogues: Clinical characteristics and comparison between pure intoxication and that combined with other substances of abuse. Toxicol Lett. 2017;</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277:</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84-91.</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color w:val="212121"/>
          <w:sz w:val="28"/>
          <w:szCs w:val="28"/>
          <w:shd w:val="clear" w:color="auto" w:fill="FFFFFF"/>
        </w:rPr>
        <w:t>Синенченко А.</w:t>
      </w:r>
      <w:r>
        <w:rPr>
          <w:rFonts w:ascii="Times New Roman" w:eastAsia="TimesNewRomanPSMT" w:hAnsi="Times New Roman" w:cs="Times New Roman"/>
          <w:color w:val="000000"/>
          <w:sz w:val="28"/>
          <w:szCs w:val="28"/>
        </w:rPr>
        <w:t>Г., Лодягин А.Н., Батоцыренов Б.В. Оптимизация интенсивной терапии делириозного синдрома при остравлениях 1,4-бутандиолом. Общая реаниматология. 2020; 16(3): 85-93.</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000000"/>
          <w:sz w:val="28"/>
          <w:szCs w:val="28"/>
          <w:shd w:val="clear" w:color="auto" w:fill="FFFFFF"/>
          <w:lang w:val="en-US"/>
        </w:rPr>
        <w:t>Melson J., Kane M., Mooney R., Mcwilliams J., Horton T. Improving alcohol withdrawal outcomes in acute care. Perm J. 2014; 18(2):</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 xml:space="preserve">e141-5. </w:t>
      </w:r>
      <w:hyperlink r:id="rId18" w:history="1">
        <w:r>
          <w:rPr>
            <w:rStyle w:val="ad"/>
            <w:rFonts w:ascii="Times New Roman" w:hAnsi="Times New Roman" w:cs="Times New Roman"/>
            <w:bCs/>
            <w:color w:val="000000"/>
            <w:sz w:val="28"/>
            <w:szCs w:val="28"/>
            <w:lang w:val="en-US"/>
          </w:rPr>
          <w:t>https://doi</w:t>
        </w:r>
      </w:hyperlink>
      <w:r>
        <w:rPr>
          <w:rFonts w:ascii="Times New Roman" w:hAnsi="Times New Roman" w:cs="Times New Roman"/>
          <w:bCs/>
          <w:color w:val="000000"/>
          <w:sz w:val="28"/>
          <w:szCs w:val="28"/>
          <w:lang w:val="en-US"/>
        </w:rPr>
        <w:t>:</w:t>
      </w:r>
      <w:r>
        <w:rPr>
          <w:rFonts w:ascii="Times New Roman" w:hAnsi="Times New Roman" w:cs="Times New Roman"/>
          <w:color w:val="000000"/>
          <w:sz w:val="28"/>
          <w:szCs w:val="28"/>
          <w:shd w:val="clear" w:color="auto" w:fill="FFFFFF"/>
          <w:lang w:val="en-US"/>
        </w:rPr>
        <w:t>10.7812/TPP/13-099.</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color w:val="212121"/>
          <w:sz w:val="28"/>
          <w:szCs w:val="28"/>
          <w:shd w:val="clear" w:color="auto" w:fill="FFFFFF"/>
        </w:rPr>
        <w:t>Синенченко А.Г., Лодягин А.Н., Батоцыренов Б.В., Савело В.Е., Антонова А.М. [и др.]</w:t>
      </w:r>
      <w:r>
        <w:rPr>
          <w:rFonts w:ascii="Times New Roman" w:hAnsi="Times New Roman" w:cs="Times New Roman"/>
          <w:color w:val="000000"/>
          <w:sz w:val="28"/>
          <w:szCs w:val="28"/>
        </w:rPr>
        <w:t xml:space="preserve"> Острое тяжелое пероральное отравление 1,4-бутандиолом и этанолом с развитием коматозного состояния. Журнал неврологии и психиатрии им. С.С. Корсакова. 2020; 120(3): 77-81.</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212121"/>
          <w:sz w:val="28"/>
          <w:szCs w:val="28"/>
          <w:shd w:val="clear" w:color="auto" w:fill="FFFFFF"/>
          <w:lang w:val="en-US"/>
        </w:rPr>
        <w:t xml:space="preserve">Raposo Pereira F., McMaster M.T.B., Schellekens A., Polderman N., de Vries YDAT </w:t>
      </w:r>
      <w:r>
        <w:rPr>
          <w:rFonts w:ascii="Times New Roman" w:hAnsi="Times New Roman" w:cs="Times New Roman"/>
          <w:color w:val="000000"/>
          <w:sz w:val="28"/>
          <w:szCs w:val="28"/>
          <w:shd w:val="clear" w:color="auto" w:fill="FFFFFF"/>
          <w:lang w:val="en-US"/>
        </w:rPr>
        <w:t>[et al.].</w:t>
      </w:r>
      <w:r>
        <w:rPr>
          <w:rFonts w:ascii="Times New Roman" w:hAnsi="Times New Roman" w:cs="Times New Roman"/>
          <w:color w:val="212121"/>
          <w:sz w:val="28"/>
          <w:szCs w:val="28"/>
          <w:shd w:val="clear" w:color="auto" w:fill="FFFFFF"/>
          <w:lang w:val="en-US"/>
        </w:rPr>
        <w:t xml:space="preserve"> Effects of Recreational GHB Use and Multiple GHB-Induced Comas on Brain Structure and Impulsivity. Front Psychiatry. 2020;</w:t>
      </w:r>
      <w:r>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lang w:val="en-US"/>
        </w:rPr>
        <w:t>11:</w:t>
      </w:r>
      <w:r>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lang w:val="en-US"/>
        </w:rPr>
        <w:t>166. https://doi: 10.3389/fpsyt.2020.00166</w:t>
      </w:r>
      <w:r>
        <w:rPr>
          <w:rFonts w:ascii="Times New Roman" w:hAnsi="Times New Roman" w:cs="Times New Roman"/>
          <w:color w:val="212121"/>
          <w:sz w:val="28"/>
          <w:szCs w:val="28"/>
          <w:shd w:val="clear" w:color="auto" w:fill="FFFFFF"/>
        </w:rPr>
        <w:t>.</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Павлов Ч.С., Дамулин И.В., Ивашкин В.Т. Печеночная энцефалопатия: патогенез, клиника, диагностика и терапия. Российский журнал гастроэнтерологии, гепатологии и колопроктологии. 2016; 1: 44-53</w:t>
      </w:r>
    </w:p>
    <w:p>
      <w:pPr>
        <w:pStyle w:val="af"/>
        <w:numPr>
          <w:ilvl w:val="0"/>
          <w:numId w:val="8"/>
        </w:numPr>
        <w:suppressAutoHyphen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Акалаев Р.Н., Шарипова В.Х., Стопницкий А.А., Хожиев Х.Ш. Нейротропные эффекты гепатопротекторов при отравлении алкоголем. Общая реаниматология. 2019; 15(4): 4-10. DOI: </w:t>
      </w:r>
      <w:hyperlink r:id="rId19" w:tgtFrame="_blank" w:history="1">
        <w:r>
          <w:rPr>
            <w:rStyle w:val="ad"/>
            <w:rFonts w:ascii="Times New Roman" w:hAnsi="Times New Roman" w:cs="Times New Roman"/>
            <w:color w:val="00008F"/>
            <w:sz w:val="28"/>
            <w:szCs w:val="28"/>
          </w:rPr>
          <w:t>10.15360/1813-9779-2019-4-4-10</w:t>
        </w:r>
      </w:hyperlink>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Плотникова Е.Ю. Варианты гипераммониемии в клинической практике. Справочник заведующего КДП.2021; 4: 40-51</w:t>
      </w:r>
    </w:p>
    <w:p>
      <w:pPr>
        <w:pStyle w:val="af"/>
        <w:numPr>
          <w:ilvl w:val="0"/>
          <w:numId w:val="8"/>
        </w:numPr>
        <w:suppressAutoHyphens/>
        <w:spacing w:after="0" w:line="36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Алексеенко С.А., Агеева Е.А., Полковникова О.П. С</w:t>
      </w:r>
      <w:r>
        <w:rPr>
          <w:rFonts w:ascii="Times New Roman" w:hAnsi="Times New Roman" w:cs="Times New Roman"/>
          <w:sz w:val="28"/>
          <w:szCs w:val="28"/>
        </w:rPr>
        <w:t>овременные подходы к диагностике и лечению гипераммониемии у пациентов с хроническими заболеваниями печени на доцирротической стадии. Русский медицинский журнал. Медицинское обозрение. 2018; 2(7-1): 19-23.</w:t>
      </w:r>
    </w:p>
    <w:p>
      <w:pPr>
        <w:pStyle w:val="af"/>
        <w:numPr>
          <w:ilvl w:val="0"/>
          <w:numId w:val="8"/>
        </w:numPr>
        <w:suppressAutoHyphens/>
        <w:spacing w:line="36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Плотникова Е.Ю., Воросова О.А., Баранова Е.Н., Карягина М.С., Кравнов К.А. [и др.]. Работа в ночную смену и гипераммониемия у врачей. Российский медицинский журнал. 2021; 29(4): 49-52.</w:t>
      </w:r>
    </w:p>
    <w:p>
      <w:pPr>
        <w:pStyle w:val="af"/>
        <w:numPr>
          <w:ilvl w:val="0"/>
          <w:numId w:val="8"/>
        </w:numPr>
        <w:suppressAutoHyphens/>
        <w:spacing w:after="0" w:line="36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Ивницкий Ю.Ю., Шефер Т.В. Рейнюк В.Л. Перераспределение аммиака между пищеварительным трактом и кровью при моделировании алкогольной комы: роль в формировании летального исхода. Патологическая физиология и экспериментальная терапия. 2010; 3: 34-37</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Лазебник Л.Б., Голованова Е.В., Алексеенко С.А., Буеверов Е.Ю., Долгушина А.И. и соавт. Российский консенсус «Гипераммониемии у взрослых». Экспериментальная и клиническая гастроэнтерология. 2019; 172(12): 4-23.</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Плотникова Е.Ю., Макарова М.Р., Грачева Т.Ю. Возможности  применения </w:t>
      </w:r>
      <w:r>
        <w:rPr>
          <w:rFonts w:ascii="Times New Roman" w:eastAsia="TimesNewRomanPSMT" w:hAnsi="Times New Roman" w:cs="Times New Roman"/>
          <w:color w:val="000000"/>
          <w:sz w:val="28"/>
          <w:szCs w:val="28"/>
          <w:lang w:val="en-US"/>
        </w:rPr>
        <w:t>L</w:t>
      </w:r>
      <w:r>
        <w:rPr>
          <w:rFonts w:ascii="Times New Roman" w:eastAsia="TimesNewRomanPSMT" w:hAnsi="Times New Roman" w:cs="Times New Roman"/>
          <w:color w:val="000000"/>
          <w:sz w:val="28"/>
          <w:szCs w:val="28"/>
        </w:rPr>
        <w:t>-орнитина в спортивной медицине. Спортивная медицина.2016; 4: 28-35</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lang w:val="en-US"/>
        </w:rPr>
        <w:t>Li Y., Zhou Q., Song J.N., Chen X.Z., Zhang X.Z. [et al.] Analysis of clinical prognosis in patients with non-hepatic hyperammonemia</w:t>
      </w:r>
      <w:r>
        <w:rPr>
          <w:rFonts w:ascii="Times New Roman" w:hAnsi="Times New Roman" w:cs="Times New Roman"/>
          <w:color w:val="212121"/>
          <w:sz w:val="28"/>
          <w:szCs w:val="28"/>
          <w:shd w:val="clear" w:color="auto" w:fill="FFFFFF"/>
          <w:lang w:val="en-US"/>
        </w:rPr>
        <w:t xml:space="preserve">. </w:t>
      </w:r>
      <w:r>
        <w:rPr>
          <w:rFonts w:ascii="Times New Roman" w:eastAsia="TimesNewRomanPSMT" w:hAnsi="Times New Roman" w:cs="Times New Roman"/>
          <w:color w:val="000000"/>
          <w:sz w:val="28"/>
          <w:szCs w:val="28"/>
        </w:rPr>
        <w:t>Medicine (Baltimore). 2021;100(3):e24157. doi: 10.1097/MD.0000000000024157.</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212121"/>
          <w:sz w:val="28"/>
          <w:szCs w:val="28"/>
          <w:shd w:val="clear" w:color="auto" w:fill="FFFFFF"/>
          <w:lang w:val="en-US"/>
        </w:rPr>
        <w:lastRenderedPageBreak/>
        <w:t>Sakusic A., Sabov M., McCambridge A.J., Rabinstein A.A., Singh T.D [et al.]  Features of Adult Hyperammonemia Not Due to Liver Failure in the ICU. Crit Care Med. 2018;46(9):e897-e903. doi: 10.1097/CCM.0000000000003278</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212121"/>
          <w:sz w:val="28"/>
          <w:szCs w:val="28"/>
          <w:shd w:val="clear" w:color="auto" w:fill="FFFFFF"/>
          <w:lang w:val="en-US"/>
        </w:rPr>
        <w:t xml:space="preserve">Yao ZP, Li Y, Liu Y, Wang HL. Relationship between the incidence of non-hepatic hyperammonemia and the prognosis of patients in the intensive care unit. World J Gastroenterol. 2020;26(45):7222-7231. doi: 10.3748/wjg.v26.i45.7222.  </w:t>
      </w:r>
    </w:p>
    <w:p>
      <w:pPr>
        <w:pStyle w:val="af"/>
        <w:numPr>
          <w:ilvl w:val="0"/>
          <w:numId w:val="8"/>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Вялов С.С. Эндотоксины, аммиак, жировая болезнь и фиброз печени. Доктор.Ру. 2018;7(151):18-24</w:t>
      </w:r>
      <w:r>
        <w:rPr>
          <w:rFonts w:ascii="Times New Roman" w:hAnsi="Times New Roman" w:cs="Times New Roman"/>
          <w:sz w:val="28"/>
          <w:szCs w:val="28"/>
        </w:rPr>
        <w:t xml:space="preserve"> DOI: </w:t>
      </w:r>
      <w:hyperlink r:id="rId20" w:tgtFrame="_blank" w:history="1">
        <w:r>
          <w:rPr>
            <w:rStyle w:val="ad"/>
            <w:rFonts w:ascii="Times New Roman" w:hAnsi="Times New Roman" w:cs="Times New Roman"/>
            <w:color w:val="00008F"/>
            <w:sz w:val="28"/>
            <w:szCs w:val="28"/>
          </w:rPr>
          <w:t>10.31550/1727-2378-2018-151-7-18-24</w:t>
        </w:r>
      </w:hyperlink>
    </w:p>
    <w:p>
      <w:pPr>
        <w:pStyle w:val="af"/>
        <w:suppressAutoHyphens/>
        <w:spacing w:after="0" w:line="360" w:lineRule="auto"/>
        <w:ind w:left="0" w:firstLine="567"/>
        <w:jc w:val="both"/>
        <w:rPr>
          <w:rFonts w:ascii="Times New Roman" w:hAnsi="Times New Roman"/>
          <w:b/>
          <w:color w:val="000000"/>
          <w:sz w:val="28"/>
          <w:szCs w:val="28"/>
        </w:rPr>
      </w:pPr>
    </w:p>
    <w:p>
      <w:pPr>
        <w:pStyle w:val="af"/>
        <w:suppressAutoHyphens/>
        <w:spacing w:after="0" w:line="360" w:lineRule="auto"/>
        <w:ind w:left="0" w:firstLine="567"/>
        <w:jc w:val="both"/>
        <w:rPr>
          <w:rFonts w:ascii="Times New Roman" w:hAnsi="Times New Roman"/>
          <w:b/>
          <w:color w:val="000000"/>
          <w:sz w:val="28"/>
          <w:szCs w:val="28"/>
        </w:rPr>
      </w:pPr>
      <w:r>
        <w:rPr>
          <w:rFonts w:ascii="Times New Roman" w:hAnsi="Times New Roman"/>
          <w:b/>
          <w:color w:val="000000"/>
          <w:sz w:val="28"/>
          <w:szCs w:val="28"/>
          <w:lang w:val="en-US"/>
        </w:rPr>
        <w:t>References</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Babanin A.A., Ulanov V.S. Analiz smertel'nyh otravlenij psihoaktivnymi veshhestvami v Respublike Krym za 1993-2017 gg. Sudebno-medicinskaja jekspertiza. 2019;62(5):54-57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Lipanov L.L., Nasybullin G.M., Kazancev V.S. Rasprostranennost' potreblenija shkol'nikami psihoaktivnyh veshhestv i mnogofaktornyj analiz prichin priobshhenija k alkogolju i tabaku. Profilakticheskaja i klinicheskaja medicina. </w:t>
      </w:r>
      <w:r>
        <w:rPr>
          <w:rFonts w:ascii="Times New Roman" w:hAnsi="Times New Roman"/>
          <w:color w:val="000000"/>
          <w:sz w:val="28"/>
          <w:szCs w:val="28"/>
          <w:lang w:val="en-US"/>
        </w:rPr>
        <w:t xml:space="preserve">2019;1(70):4-9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Ljah A.O. Harakteristika prichin sovershenija prestuplenij v sfere nezakonnogo oborota novyh potencial'no opasnyh psihoaktivnyh veshhestv. Studencheskij forum. 2019;5(56):73-76</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Sinenchenko</w:t>
      </w:r>
      <w:r>
        <w:rPr>
          <w:rFonts w:ascii="Times New Roman" w:hAnsi="Times New Roman"/>
          <w:color w:val="000000"/>
          <w:sz w:val="28"/>
          <w:szCs w:val="28"/>
        </w:rPr>
        <w:t xml:space="preserve"> </w:t>
      </w:r>
      <w:r>
        <w:rPr>
          <w:rFonts w:ascii="Times New Roman" w:hAnsi="Times New Roman"/>
          <w:color w:val="000000"/>
          <w:sz w:val="28"/>
          <w:szCs w:val="28"/>
          <w:lang w:val="en-US"/>
        </w:rPr>
        <w:t>A</w:t>
      </w:r>
      <w:r>
        <w:rPr>
          <w:rFonts w:ascii="Times New Roman" w:hAnsi="Times New Roman"/>
          <w:color w:val="000000"/>
          <w:sz w:val="28"/>
          <w:szCs w:val="28"/>
        </w:rPr>
        <w:t>.</w:t>
      </w:r>
      <w:r>
        <w:rPr>
          <w:rFonts w:ascii="Times New Roman" w:hAnsi="Times New Roman"/>
          <w:color w:val="000000"/>
          <w:sz w:val="28"/>
          <w:szCs w:val="28"/>
          <w:lang w:val="en-US"/>
        </w:rPr>
        <w:t>G</w:t>
      </w:r>
      <w:r>
        <w:rPr>
          <w:rFonts w:ascii="Times New Roman" w:hAnsi="Times New Roman"/>
          <w:color w:val="000000"/>
          <w:sz w:val="28"/>
          <w:szCs w:val="28"/>
        </w:rPr>
        <w:t xml:space="preserve">., </w:t>
      </w:r>
      <w:r>
        <w:rPr>
          <w:rFonts w:ascii="Times New Roman" w:hAnsi="Times New Roman"/>
          <w:color w:val="000000"/>
          <w:sz w:val="28"/>
          <w:szCs w:val="28"/>
          <w:lang w:val="en-US"/>
        </w:rPr>
        <w:t>Lodjagin</w:t>
      </w:r>
      <w:r>
        <w:rPr>
          <w:rFonts w:ascii="Times New Roman" w:hAnsi="Times New Roman"/>
          <w:color w:val="000000"/>
          <w:sz w:val="28"/>
          <w:szCs w:val="28"/>
        </w:rPr>
        <w:t xml:space="preserve"> </w:t>
      </w:r>
      <w:r>
        <w:rPr>
          <w:rFonts w:ascii="Times New Roman" w:hAnsi="Times New Roman"/>
          <w:color w:val="000000"/>
          <w:sz w:val="28"/>
          <w:szCs w:val="28"/>
          <w:lang w:val="en-US"/>
        </w:rPr>
        <w:t>A</w:t>
      </w:r>
      <w:r>
        <w:rPr>
          <w:rFonts w:ascii="Times New Roman" w:hAnsi="Times New Roman"/>
          <w:color w:val="000000"/>
          <w:sz w:val="28"/>
          <w:szCs w:val="28"/>
        </w:rPr>
        <w:t>.</w:t>
      </w:r>
      <w:r>
        <w:rPr>
          <w:rFonts w:ascii="Times New Roman" w:hAnsi="Times New Roman"/>
          <w:color w:val="000000"/>
          <w:sz w:val="28"/>
          <w:szCs w:val="28"/>
          <w:lang w:val="en-US"/>
        </w:rPr>
        <w:t>N</w:t>
      </w:r>
      <w:r>
        <w:rPr>
          <w:rFonts w:ascii="Times New Roman" w:hAnsi="Times New Roman"/>
          <w:color w:val="000000"/>
          <w:sz w:val="28"/>
          <w:szCs w:val="28"/>
        </w:rPr>
        <w:t xml:space="preserve">., </w:t>
      </w:r>
      <w:r>
        <w:rPr>
          <w:rFonts w:ascii="Times New Roman" w:hAnsi="Times New Roman"/>
          <w:color w:val="000000"/>
          <w:sz w:val="28"/>
          <w:szCs w:val="28"/>
          <w:lang w:val="en-US"/>
        </w:rPr>
        <w:t>Batocyrenov</w:t>
      </w:r>
      <w:r>
        <w:rPr>
          <w:rFonts w:ascii="Times New Roman" w:hAnsi="Times New Roman"/>
          <w:color w:val="000000"/>
          <w:sz w:val="28"/>
          <w:szCs w:val="28"/>
        </w:rPr>
        <w:t xml:space="preserve"> </w:t>
      </w:r>
      <w:r>
        <w:rPr>
          <w:rFonts w:ascii="Times New Roman" w:hAnsi="Times New Roman"/>
          <w:color w:val="000000"/>
          <w:sz w:val="28"/>
          <w:szCs w:val="28"/>
          <w:lang w:val="en-US"/>
        </w:rPr>
        <w:t>B</w:t>
      </w:r>
      <w:r>
        <w:rPr>
          <w:rFonts w:ascii="Times New Roman" w:hAnsi="Times New Roman"/>
          <w:color w:val="000000"/>
          <w:sz w:val="28"/>
          <w:szCs w:val="28"/>
        </w:rPr>
        <w:t>.</w:t>
      </w:r>
      <w:r>
        <w:rPr>
          <w:rFonts w:ascii="Times New Roman" w:hAnsi="Times New Roman"/>
          <w:color w:val="000000"/>
          <w:sz w:val="28"/>
          <w:szCs w:val="28"/>
          <w:lang w:val="en-US"/>
        </w:rPr>
        <w:t>V</w:t>
      </w:r>
      <w:r>
        <w:rPr>
          <w:rFonts w:ascii="Times New Roman" w:hAnsi="Times New Roman"/>
          <w:color w:val="000000"/>
          <w:sz w:val="28"/>
          <w:szCs w:val="28"/>
        </w:rPr>
        <w:t xml:space="preserve">., </w:t>
      </w:r>
      <w:r>
        <w:rPr>
          <w:rFonts w:ascii="Times New Roman" w:hAnsi="Times New Roman"/>
          <w:color w:val="000000"/>
          <w:sz w:val="28"/>
          <w:szCs w:val="28"/>
          <w:lang w:val="en-US"/>
        </w:rPr>
        <w:t>Balabanova</w:t>
      </w:r>
      <w:r>
        <w:rPr>
          <w:rFonts w:ascii="Times New Roman" w:hAnsi="Times New Roman"/>
          <w:color w:val="000000"/>
          <w:sz w:val="28"/>
          <w:szCs w:val="28"/>
        </w:rPr>
        <w:t xml:space="preserve"> </w:t>
      </w:r>
      <w:r>
        <w:rPr>
          <w:rFonts w:ascii="Times New Roman" w:hAnsi="Times New Roman"/>
          <w:color w:val="000000"/>
          <w:sz w:val="28"/>
          <w:szCs w:val="28"/>
          <w:lang w:val="en-US"/>
        </w:rPr>
        <w:t>O</w:t>
      </w:r>
      <w:r>
        <w:rPr>
          <w:rFonts w:ascii="Times New Roman" w:hAnsi="Times New Roman"/>
          <w:color w:val="000000"/>
          <w:sz w:val="28"/>
          <w:szCs w:val="28"/>
        </w:rPr>
        <w:t>.</w:t>
      </w:r>
      <w:r>
        <w:rPr>
          <w:rFonts w:ascii="Times New Roman" w:hAnsi="Times New Roman"/>
          <w:color w:val="000000"/>
          <w:sz w:val="28"/>
          <w:szCs w:val="28"/>
          <w:lang w:val="en-US"/>
        </w:rPr>
        <w:t>L</w:t>
      </w:r>
      <w:r>
        <w:rPr>
          <w:rFonts w:ascii="Times New Roman" w:hAnsi="Times New Roman"/>
          <w:color w:val="000000"/>
          <w:sz w:val="28"/>
          <w:szCs w:val="28"/>
        </w:rPr>
        <w:t xml:space="preserve">. </w:t>
      </w:r>
      <w:r>
        <w:rPr>
          <w:rFonts w:ascii="Times New Roman" w:hAnsi="Times New Roman"/>
          <w:color w:val="000000"/>
          <w:sz w:val="28"/>
          <w:szCs w:val="28"/>
          <w:lang w:val="en-US"/>
        </w:rPr>
        <w:t>Jepidemiologija</w:t>
      </w:r>
      <w:r>
        <w:rPr>
          <w:rFonts w:ascii="Times New Roman" w:hAnsi="Times New Roman"/>
          <w:color w:val="000000"/>
          <w:sz w:val="28"/>
          <w:szCs w:val="28"/>
        </w:rPr>
        <w:t xml:space="preserve"> </w:t>
      </w:r>
      <w:r>
        <w:rPr>
          <w:rFonts w:ascii="Times New Roman" w:hAnsi="Times New Roman"/>
          <w:color w:val="000000"/>
          <w:sz w:val="28"/>
          <w:szCs w:val="28"/>
          <w:lang w:val="en-US"/>
        </w:rPr>
        <w:t>ostryh</w:t>
      </w:r>
      <w:r>
        <w:rPr>
          <w:rFonts w:ascii="Times New Roman" w:hAnsi="Times New Roman"/>
          <w:color w:val="000000"/>
          <w:sz w:val="28"/>
          <w:szCs w:val="28"/>
        </w:rPr>
        <w:t xml:space="preserve"> </w:t>
      </w:r>
      <w:r>
        <w:rPr>
          <w:rFonts w:ascii="Times New Roman" w:hAnsi="Times New Roman"/>
          <w:color w:val="000000"/>
          <w:sz w:val="28"/>
          <w:szCs w:val="28"/>
          <w:lang w:val="en-US"/>
        </w:rPr>
        <w:t>otravlenij</w:t>
      </w:r>
      <w:r>
        <w:rPr>
          <w:rFonts w:ascii="Times New Roman" w:hAnsi="Times New Roman"/>
          <w:color w:val="000000"/>
          <w:sz w:val="28"/>
          <w:szCs w:val="28"/>
        </w:rPr>
        <w:t xml:space="preserve"> </w:t>
      </w:r>
      <w:r>
        <w:rPr>
          <w:rFonts w:ascii="Times New Roman" w:hAnsi="Times New Roman"/>
          <w:color w:val="000000"/>
          <w:sz w:val="28"/>
          <w:szCs w:val="28"/>
          <w:lang w:val="en-US"/>
        </w:rPr>
        <w:t>gamma</w:t>
      </w:r>
      <w:r>
        <w:rPr>
          <w:rFonts w:ascii="Times New Roman" w:hAnsi="Times New Roman"/>
          <w:color w:val="000000"/>
          <w:sz w:val="28"/>
          <w:szCs w:val="28"/>
        </w:rPr>
        <w:t>-</w:t>
      </w:r>
      <w:r>
        <w:rPr>
          <w:rFonts w:ascii="Times New Roman" w:hAnsi="Times New Roman"/>
          <w:color w:val="000000"/>
          <w:sz w:val="28"/>
          <w:szCs w:val="28"/>
          <w:lang w:val="en-US"/>
        </w:rPr>
        <w:t>gidroksimasljanoj</w:t>
      </w:r>
      <w:r>
        <w:rPr>
          <w:rFonts w:ascii="Times New Roman" w:hAnsi="Times New Roman"/>
          <w:color w:val="000000"/>
          <w:sz w:val="28"/>
          <w:szCs w:val="28"/>
        </w:rPr>
        <w:t xml:space="preserve"> </w:t>
      </w:r>
      <w:r>
        <w:rPr>
          <w:rFonts w:ascii="Times New Roman" w:hAnsi="Times New Roman"/>
          <w:color w:val="000000"/>
          <w:sz w:val="28"/>
          <w:szCs w:val="28"/>
          <w:lang w:val="en-US"/>
        </w:rPr>
        <w:t>kislotoj</w:t>
      </w:r>
      <w:r>
        <w:rPr>
          <w:rFonts w:ascii="Times New Roman" w:hAnsi="Times New Roman"/>
          <w:color w:val="000000"/>
          <w:sz w:val="28"/>
          <w:szCs w:val="28"/>
        </w:rPr>
        <w:t xml:space="preserve"> </w:t>
      </w:r>
      <w:r>
        <w:rPr>
          <w:rFonts w:ascii="Times New Roman" w:hAnsi="Times New Roman"/>
          <w:color w:val="000000"/>
          <w:sz w:val="28"/>
          <w:szCs w:val="28"/>
          <w:lang w:val="en-US"/>
        </w:rPr>
        <w:t>v</w:t>
      </w:r>
      <w:r>
        <w:rPr>
          <w:rFonts w:ascii="Times New Roman" w:hAnsi="Times New Roman"/>
          <w:color w:val="000000"/>
          <w:sz w:val="28"/>
          <w:szCs w:val="28"/>
        </w:rPr>
        <w:t xml:space="preserve"> </w:t>
      </w:r>
      <w:r>
        <w:rPr>
          <w:rFonts w:ascii="Times New Roman" w:hAnsi="Times New Roman"/>
          <w:color w:val="000000"/>
          <w:sz w:val="28"/>
          <w:szCs w:val="28"/>
          <w:lang w:val="en-US"/>
        </w:rPr>
        <w:t>sankt</w:t>
      </w:r>
      <w:r>
        <w:rPr>
          <w:rFonts w:ascii="Times New Roman" w:hAnsi="Times New Roman"/>
          <w:color w:val="000000"/>
          <w:sz w:val="28"/>
          <w:szCs w:val="28"/>
        </w:rPr>
        <w:t>-</w:t>
      </w:r>
      <w:r>
        <w:rPr>
          <w:rFonts w:ascii="Times New Roman" w:hAnsi="Times New Roman"/>
          <w:color w:val="000000"/>
          <w:sz w:val="28"/>
          <w:szCs w:val="28"/>
          <w:lang w:val="en-US"/>
        </w:rPr>
        <w:t>peterburge</w:t>
      </w:r>
      <w:r>
        <w:rPr>
          <w:rFonts w:ascii="Times New Roman" w:hAnsi="Times New Roman"/>
          <w:color w:val="000000"/>
          <w:sz w:val="28"/>
          <w:szCs w:val="28"/>
        </w:rPr>
        <w:t xml:space="preserve"> (</w:t>
      </w:r>
      <w:r>
        <w:rPr>
          <w:rFonts w:ascii="Times New Roman" w:hAnsi="Times New Roman"/>
          <w:color w:val="000000"/>
          <w:sz w:val="28"/>
          <w:szCs w:val="28"/>
          <w:lang w:val="en-US"/>
        </w:rPr>
        <w:t>po</w:t>
      </w:r>
      <w:r>
        <w:rPr>
          <w:rFonts w:ascii="Times New Roman" w:hAnsi="Times New Roman"/>
          <w:color w:val="000000"/>
          <w:sz w:val="28"/>
          <w:szCs w:val="28"/>
        </w:rPr>
        <w:t xml:space="preserve"> </w:t>
      </w:r>
      <w:r>
        <w:rPr>
          <w:rFonts w:ascii="Times New Roman" w:hAnsi="Times New Roman"/>
          <w:color w:val="000000"/>
          <w:sz w:val="28"/>
          <w:szCs w:val="28"/>
          <w:lang w:val="en-US"/>
        </w:rPr>
        <w:t>dannym</w:t>
      </w:r>
      <w:r>
        <w:rPr>
          <w:rFonts w:ascii="Times New Roman" w:hAnsi="Times New Roman"/>
          <w:color w:val="000000"/>
          <w:sz w:val="28"/>
          <w:szCs w:val="28"/>
        </w:rPr>
        <w:t xml:space="preserve"> </w:t>
      </w:r>
      <w:r>
        <w:rPr>
          <w:rFonts w:ascii="Times New Roman" w:hAnsi="Times New Roman"/>
          <w:color w:val="000000"/>
          <w:sz w:val="28"/>
          <w:szCs w:val="28"/>
          <w:lang w:val="en-US"/>
        </w:rPr>
        <w:t>mnogoprofil</w:t>
      </w:r>
      <w:r>
        <w:rPr>
          <w:rFonts w:ascii="Times New Roman" w:hAnsi="Times New Roman"/>
          <w:color w:val="000000"/>
          <w:sz w:val="28"/>
          <w:szCs w:val="28"/>
        </w:rPr>
        <w:t>'</w:t>
      </w:r>
      <w:r>
        <w:rPr>
          <w:rFonts w:ascii="Times New Roman" w:hAnsi="Times New Roman"/>
          <w:color w:val="000000"/>
          <w:sz w:val="28"/>
          <w:szCs w:val="28"/>
          <w:lang w:val="en-US"/>
        </w:rPr>
        <w:t>nogo</w:t>
      </w:r>
      <w:r>
        <w:rPr>
          <w:rFonts w:ascii="Times New Roman" w:hAnsi="Times New Roman"/>
          <w:color w:val="000000"/>
          <w:sz w:val="28"/>
          <w:szCs w:val="28"/>
        </w:rPr>
        <w:t xml:space="preserve"> </w:t>
      </w:r>
      <w:r>
        <w:rPr>
          <w:rFonts w:ascii="Times New Roman" w:hAnsi="Times New Roman"/>
          <w:color w:val="000000"/>
          <w:sz w:val="28"/>
          <w:szCs w:val="28"/>
          <w:lang w:val="en-US"/>
        </w:rPr>
        <w:t>stacionara</w:t>
      </w:r>
      <w:r>
        <w:rPr>
          <w:rFonts w:ascii="Times New Roman" w:hAnsi="Times New Roman"/>
          <w:color w:val="000000"/>
          <w:sz w:val="28"/>
          <w:szCs w:val="28"/>
        </w:rPr>
        <w:t xml:space="preserve">). Toksikologicheskij vestnik. 2021;2:34-40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line="360" w:lineRule="auto"/>
        <w:ind w:left="0" w:firstLine="567"/>
        <w:jc w:val="both"/>
        <w:rPr>
          <w:rFonts w:ascii="Times New Roman" w:hAnsi="Times New Roman" w:cs="Times New Roman"/>
          <w:bCs/>
          <w:color w:val="000000" w:themeColor="text1"/>
          <w:sz w:val="28"/>
          <w:szCs w:val="28"/>
          <w:lang w:val="en-US"/>
        </w:rPr>
      </w:pPr>
      <w:r>
        <w:rPr>
          <w:rFonts w:ascii="Times New Roman" w:eastAsia="TimesNewRomanPSMT" w:hAnsi="Times New Roman" w:cs="Times New Roman"/>
          <w:color w:val="000000"/>
          <w:sz w:val="28"/>
          <w:szCs w:val="28"/>
          <w:lang w:val="en-US"/>
        </w:rPr>
        <w:t xml:space="preserve">Busardò F.P., Jones A.W. </w:t>
      </w:r>
      <w:r>
        <w:rPr>
          <w:rStyle w:val="highlight"/>
          <w:rFonts w:ascii="Times New Roman" w:hAnsi="Times New Roman" w:cs="Times New Roman"/>
          <w:color w:val="000000"/>
          <w:sz w:val="28"/>
          <w:szCs w:val="28"/>
          <w:lang w:val="en-US"/>
        </w:rPr>
        <w:t>Interpreting</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γ</w:t>
      </w:r>
      <w:r>
        <w:rPr>
          <w:rFonts w:ascii="Times New Roman" w:hAnsi="Times New Roman" w:cs="Times New Roman"/>
          <w:color w:val="000000"/>
          <w:sz w:val="28"/>
          <w:szCs w:val="28"/>
          <w:lang w:val="en-US"/>
        </w:rPr>
        <w:t>-hydroxybutyrate </w:t>
      </w:r>
      <w:r>
        <w:rPr>
          <w:rStyle w:val="highlight"/>
          <w:rFonts w:ascii="Times New Roman" w:hAnsi="Times New Roman" w:cs="Times New Roman"/>
          <w:color w:val="000000"/>
          <w:sz w:val="28"/>
          <w:szCs w:val="28"/>
          <w:lang w:val="en-US"/>
        </w:rPr>
        <w:t>concentrations</w:t>
      </w:r>
      <w:r>
        <w:rPr>
          <w:rFonts w:ascii="Times New Roman" w:hAnsi="Times New Roman" w:cs="Times New Roman"/>
          <w:color w:val="000000"/>
          <w:sz w:val="28"/>
          <w:szCs w:val="28"/>
          <w:lang w:val="en-US"/>
        </w:rPr>
        <w:t> for </w:t>
      </w:r>
      <w:r>
        <w:rPr>
          <w:rStyle w:val="highlight"/>
          <w:rFonts w:ascii="Times New Roman" w:hAnsi="Times New Roman" w:cs="Times New Roman"/>
          <w:color w:val="000000"/>
          <w:sz w:val="28"/>
          <w:szCs w:val="28"/>
          <w:lang w:val="en-US"/>
        </w:rPr>
        <w:t>clinical</w:t>
      </w:r>
      <w:r>
        <w:rPr>
          <w:rFonts w:ascii="Times New Roman" w:hAnsi="Times New Roman" w:cs="Times New Roman"/>
          <w:color w:val="000000"/>
          <w:sz w:val="28"/>
          <w:szCs w:val="28"/>
          <w:lang w:val="en-US"/>
        </w:rPr>
        <w:t> and </w:t>
      </w:r>
      <w:r>
        <w:rPr>
          <w:rStyle w:val="highlight"/>
          <w:rFonts w:ascii="Times New Roman" w:hAnsi="Times New Roman" w:cs="Times New Roman"/>
          <w:color w:val="000000"/>
          <w:sz w:val="28"/>
          <w:szCs w:val="28"/>
          <w:lang w:val="en-US"/>
        </w:rPr>
        <w:t>forensic</w:t>
      </w:r>
      <w:r>
        <w:rPr>
          <w:rFonts w:ascii="Times New Roman" w:hAnsi="Times New Roman" w:cs="Times New Roman"/>
          <w:color w:val="000000"/>
          <w:sz w:val="28"/>
          <w:szCs w:val="28"/>
          <w:lang w:val="en-US"/>
        </w:rPr>
        <w:t> </w:t>
      </w:r>
      <w:r>
        <w:rPr>
          <w:rStyle w:val="highlight"/>
          <w:rFonts w:ascii="Times New Roman" w:hAnsi="Times New Roman" w:cs="Times New Roman"/>
          <w:color w:val="000000"/>
          <w:sz w:val="28"/>
          <w:szCs w:val="28"/>
          <w:lang w:val="en-US"/>
        </w:rPr>
        <w:t>purposes</w:t>
      </w:r>
      <w:r>
        <w:rPr>
          <w:rFonts w:ascii="Times New Roman" w:hAnsi="Times New Roman" w:cs="Times New Roman"/>
          <w:color w:val="000000"/>
          <w:sz w:val="28"/>
          <w:szCs w:val="28"/>
          <w:lang w:val="en-US"/>
        </w:rPr>
        <w:t xml:space="preserve">. </w:t>
      </w:r>
      <w:hyperlink r:id="rId21" w:tooltip="Clinical toxicology (Philadelphia, Pa.)." w:history="1">
        <w:r>
          <w:rPr>
            <w:rStyle w:val="ad"/>
            <w:rFonts w:ascii="Times New Roman" w:hAnsi="Times New Roman" w:cs="Times New Roman"/>
            <w:color w:val="000000"/>
            <w:sz w:val="28"/>
            <w:szCs w:val="28"/>
            <w:lang w:val="en-US"/>
          </w:rPr>
          <w:t>Clin Toxicol (Phila).</w:t>
        </w:r>
      </w:hyperlink>
      <w:r>
        <w:rPr>
          <w:rFonts w:ascii="Times New Roman" w:hAnsi="Times New Roman" w:cs="Times New Roman"/>
          <w:color w:val="000000"/>
          <w:sz w:val="28"/>
          <w:szCs w:val="28"/>
          <w:lang w:val="en-US"/>
        </w:rPr>
        <w:t xml:space="preserve">  2019; 57(3):149-163. </w:t>
      </w:r>
      <w:hyperlink r:id="rId22" w:history="1">
        <w:r>
          <w:rPr>
            <w:rStyle w:val="ad"/>
            <w:rFonts w:ascii="Times New Roman" w:hAnsi="Times New Roman" w:cs="Times New Roman"/>
            <w:bCs/>
            <w:sz w:val="28"/>
            <w:szCs w:val="28"/>
            <w:lang w:val="en-US"/>
          </w:rPr>
          <w:t>https://doi:</w:t>
        </w:r>
        <w:r>
          <w:rPr>
            <w:rStyle w:val="ad"/>
            <w:rFonts w:ascii="Times New Roman" w:hAnsi="Times New Roman" w:cs="Times New Roman"/>
            <w:sz w:val="28"/>
            <w:szCs w:val="28"/>
            <w:lang w:val="en-US"/>
          </w:rPr>
          <w:t>10.1080/15563650.2018.1519194</w:t>
        </w:r>
      </w:hyperlink>
    </w:p>
    <w:p>
      <w:pPr>
        <w:pStyle w:val="af"/>
        <w:numPr>
          <w:ilvl w:val="0"/>
          <w:numId w:val="9"/>
        </w:numPr>
        <w:suppressAutoHyphens/>
        <w:autoSpaceDE w:val="0"/>
        <w:autoSpaceDN w:val="0"/>
        <w:adjustRightInd w:val="0"/>
        <w:spacing w:after="0" w:line="36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Miró Ò., Galicia M., Dargan P., Dines A. M., Giraudon I. [et al.].</w:t>
      </w:r>
      <w:r>
        <w:rPr>
          <w:rFonts w:ascii="Times New Roman" w:hAnsi="Times New Roman" w:cs="Times New Roman"/>
          <w:color w:val="000000"/>
          <w:sz w:val="28"/>
          <w:szCs w:val="28"/>
          <w:u w:val="single"/>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 Intoxication by gamma hydroxybutyrate and related analogues: Clinical </w:t>
      </w:r>
      <w:r>
        <w:rPr>
          <w:rFonts w:ascii="Times New Roman" w:hAnsi="Times New Roman" w:cs="Times New Roman"/>
          <w:color w:val="000000"/>
          <w:sz w:val="28"/>
          <w:szCs w:val="28"/>
          <w:shd w:val="clear" w:color="auto" w:fill="FFFFFF"/>
          <w:lang w:val="en-US"/>
        </w:rPr>
        <w:lastRenderedPageBreak/>
        <w:t xml:space="preserve">characteristics and comparison between pure intoxication and that combined with other substances of abuse. Toxicol Lett. 2017;277:84-91. </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 xml:space="preserve">Sinenchenko A.G., Lodjagin A.N., Batocyrenov B.V. Optimizacija intensivnoj terapii delirioznogo sindroma pri ostravlenijah 1,4-butandiolom. </w:t>
      </w:r>
      <w:r>
        <w:rPr>
          <w:rFonts w:ascii="Times New Roman" w:hAnsi="Times New Roman"/>
          <w:color w:val="000000"/>
          <w:sz w:val="28"/>
          <w:szCs w:val="28"/>
        </w:rPr>
        <w:t>Obshhaja reanimatologija. 2020;16(3): 85-93</w:t>
      </w:r>
      <w:r>
        <w:rPr>
          <w:rFonts w:ascii="Times New Roman" w:hAnsi="Times New Roman"/>
          <w:color w:val="000000"/>
          <w:sz w:val="28"/>
          <w:szCs w:val="28"/>
          <w:lang w:val="en-US"/>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000000"/>
          <w:sz w:val="28"/>
          <w:szCs w:val="28"/>
          <w:shd w:val="clear" w:color="auto" w:fill="FFFFFF"/>
          <w:lang w:val="en-US"/>
        </w:rPr>
        <w:t xml:space="preserve">Melson J., Kane M., Mooney R., Mcwilliams J., Horton T. Improving alcohol withdrawal outcomes in acute care. Perm J. 2014; 18(2):e141-5. </w:t>
      </w:r>
      <w:hyperlink r:id="rId23" w:history="1">
        <w:r>
          <w:rPr>
            <w:rStyle w:val="ad"/>
            <w:rFonts w:ascii="Times New Roman" w:hAnsi="Times New Roman" w:cs="Times New Roman"/>
            <w:bCs/>
            <w:color w:val="000000"/>
            <w:sz w:val="28"/>
            <w:szCs w:val="28"/>
            <w:lang w:val="en-US"/>
          </w:rPr>
          <w:t>https://doi</w:t>
        </w:r>
      </w:hyperlink>
      <w:r>
        <w:rPr>
          <w:rFonts w:ascii="Times New Roman" w:hAnsi="Times New Roman" w:cs="Times New Roman"/>
          <w:bCs/>
          <w:color w:val="000000"/>
          <w:sz w:val="28"/>
          <w:szCs w:val="28"/>
          <w:lang w:val="en-US"/>
        </w:rPr>
        <w:t>:</w:t>
      </w:r>
      <w:r>
        <w:rPr>
          <w:rFonts w:ascii="Times New Roman" w:hAnsi="Times New Roman" w:cs="Times New Roman"/>
          <w:color w:val="000000"/>
          <w:sz w:val="28"/>
          <w:szCs w:val="28"/>
          <w:shd w:val="clear" w:color="auto" w:fill="FFFFFF"/>
          <w:lang w:val="en-US"/>
        </w:rPr>
        <w:t xml:space="preserve">10.7812/TPP/13-099. </w:t>
      </w:r>
    </w:p>
    <w:p>
      <w:pPr>
        <w:pStyle w:val="af"/>
        <w:numPr>
          <w:ilvl w:val="0"/>
          <w:numId w:val="9"/>
        </w:numPr>
        <w:suppressAutoHyphens/>
        <w:spacing w:after="0" w:line="360" w:lineRule="auto"/>
        <w:ind w:left="0"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Sinenchenko A.G., Lodjagin A.N., Batocyrenov B.V., Savelo V.E., Antonova A.M. [i dr.] Ostroe tjazheloe peroral'noe otravlenie 1,4-butandiolom i jetanolom s razvitiem komatoznogo sostojanija. Zhurnal nevrologii i psihiatrii im. S.S. Korsakova. 2020; 120(3):77-81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bCs/>
          <w:iCs/>
          <w:color w:val="000000"/>
          <w:sz w:val="28"/>
          <w:szCs w:val="28"/>
          <w:lang w:val="en-US" w:eastAsia="ru-RU"/>
        </w:rPr>
        <w:t xml:space="preserve"> </w:t>
      </w:r>
      <w:r>
        <w:rPr>
          <w:rFonts w:ascii="Times New Roman" w:hAnsi="Times New Roman" w:cs="Times New Roman"/>
          <w:color w:val="212121"/>
          <w:sz w:val="28"/>
          <w:szCs w:val="28"/>
          <w:shd w:val="clear" w:color="auto" w:fill="FFFFFF"/>
          <w:lang w:val="en-US"/>
        </w:rPr>
        <w:t xml:space="preserve">Raposo Pereira F., McMaster M.T.B., Schellekens A., Polderman N., de Vries YDAT </w:t>
      </w:r>
      <w:r>
        <w:rPr>
          <w:rFonts w:ascii="Times New Roman" w:hAnsi="Times New Roman" w:cs="Times New Roman"/>
          <w:color w:val="000000"/>
          <w:sz w:val="28"/>
          <w:szCs w:val="28"/>
          <w:shd w:val="clear" w:color="auto" w:fill="FFFFFF"/>
          <w:lang w:val="en-US"/>
        </w:rPr>
        <w:t>[et al.].</w:t>
      </w:r>
      <w:r>
        <w:rPr>
          <w:rFonts w:ascii="Times New Roman" w:hAnsi="Times New Roman" w:cs="Times New Roman"/>
          <w:color w:val="212121"/>
          <w:sz w:val="28"/>
          <w:szCs w:val="28"/>
          <w:shd w:val="clear" w:color="auto" w:fill="FFFFFF"/>
          <w:lang w:val="en-US"/>
        </w:rPr>
        <w:t xml:space="preserve"> Effects of Recreational GHB Use and Multiple GHB-Induced Comas on Brain Structure and Impulsivity. Front Psychiatry. 2020;11:166. https://doi: 10.3389/fpsyt.2020.00166</w:t>
      </w:r>
      <w:r>
        <w:rPr>
          <w:rFonts w:ascii="Times New Roman" w:hAnsi="Times New Roman" w:cs="Times New Roman"/>
          <w:color w:val="212121"/>
          <w:sz w:val="28"/>
          <w:szCs w:val="28"/>
          <w:shd w:val="clear" w:color="auto" w:fill="FFFFFF"/>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Pavlov</w:t>
      </w:r>
      <w:r>
        <w:rPr>
          <w:rFonts w:ascii="Times New Roman" w:hAnsi="Times New Roman"/>
          <w:color w:val="000000"/>
          <w:sz w:val="28"/>
          <w:szCs w:val="28"/>
        </w:rPr>
        <w:t xml:space="preserve"> </w:t>
      </w:r>
      <w:r>
        <w:rPr>
          <w:rFonts w:ascii="Times New Roman" w:hAnsi="Times New Roman"/>
          <w:color w:val="000000"/>
          <w:sz w:val="28"/>
          <w:szCs w:val="28"/>
          <w:lang w:val="en-US"/>
        </w:rPr>
        <w:t>Ch</w:t>
      </w:r>
      <w:r>
        <w:rPr>
          <w:rFonts w:ascii="Times New Roman" w:hAnsi="Times New Roman"/>
          <w:color w:val="000000"/>
          <w:sz w:val="28"/>
          <w:szCs w:val="28"/>
        </w:rPr>
        <w:t>.</w:t>
      </w:r>
      <w:r>
        <w:rPr>
          <w:rFonts w:ascii="Times New Roman" w:hAnsi="Times New Roman"/>
          <w:color w:val="000000"/>
          <w:sz w:val="28"/>
          <w:szCs w:val="28"/>
          <w:lang w:val="en-US"/>
        </w:rPr>
        <w:t>S</w:t>
      </w:r>
      <w:r>
        <w:rPr>
          <w:rFonts w:ascii="Times New Roman" w:hAnsi="Times New Roman"/>
          <w:color w:val="000000"/>
          <w:sz w:val="28"/>
          <w:szCs w:val="28"/>
        </w:rPr>
        <w:t xml:space="preserve">., </w:t>
      </w:r>
      <w:r>
        <w:rPr>
          <w:rFonts w:ascii="Times New Roman" w:hAnsi="Times New Roman"/>
          <w:color w:val="000000"/>
          <w:sz w:val="28"/>
          <w:szCs w:val="28"/>
          <w:lang w:val="en-US"/>
        </w:rPr>
        <w:t>Damulin</w:t>
      </w:r>
      <w:r>
        <w:rPr>
          <w:rFonts w:ascii="Times New Roman" w:hAnsi="Times New Roman"/>
          <w:color w:val="000000"/>
          <w:sz w:val="28"/>
          <w:szCs w:val="28"/>
        </w:rPr>
        <w:t xml:space="preserve"> </w:t>
      </w:r>
      <w:r>
        <w:rPr>
          <w:rFonts w:ascii="Times New Roman" w:hAnsi="Times New Roman"/>
          <w:color w:val="000000"/>
          <w:sz w:val="28"/>
          <w:szCs w:val="28"/>
          <w:lang w:val="en-US"/>
        </w:rPr>
        <w:t>I</w:t>
      </w:r>
      <w:r>
        <w:rPr>
          <w:rFonts w:ascii="Times New Roman" w:hAnsi="Times New Roman"/>
          <w:color w:val="000000"/>
          <w:sz w:val="28"/>
          <w:szCs w:val="28"/>
        </w:rPr>
        <w:t>.</w:t>
      </w:r>
      <w:r>
        <w:rPr>
          <w:rFonts w:ascii="Times New Roman" w:hAnsi="Times New Roman"/>
          <w:color w:val="000000"/>
          <w:sz w:val="28"/>
          <w:szCs w:val="28"/>
          <w:lang w:val="en-US"/>
        </w:rPr>
        <w:t>V</w:t>
      </w:r>
      <w:r>
        <w:rPr>
          <w:rFonts w:ascii="Times New Roman" w:hAnsi="Times New Roman"/>
          <w:color w:val="000000"/>
          <w:sz w:val="28"/>
          <w:szCs w:val="28"/>
        </w:rPr>
        <w:t xml:space="preserve">., </w:t>
      </w:r>
      <w:r>
        <w:rPr>
          <w:rFonts w:ascii="Times New Roman" w:hAnsi="Times New Roman"/>
          <w:color w:val="000000"/>
          <w:sz w:val="28"/>
          <w:szCs w:val="28"/>
          <w:lang w:val="en-US"/>
        </w:rPr>
        <w:t>Ivashkin</w:t>
      </w:r>
      <w:r>
        <w:rPr>
          <w:rFonts w:ascii="Times New Roman" w:hAnsi="Times New Roman"/>
          <w:color w:val="000000"/>
          <w:sz w:val="28"/>
          <w:szCs w:val="28"/>
        </w:rPr>
        <w:t xml:space="preserve"> </w:t>
      </w:r>
      <w:r>
        <w:rPr>
          <w:rFonts w:ascii="Times New Roman" w:hAnsi="Times New Roman"/>
          <w:color w:val="000000"/>
          <w:sz w:val="28"/>
          <w:szCs w:val="28"/>
          <w:lang w:val="en-US"/>
        </w:rPr>
        <w:t>V</w:t>
      </w:r>
      <w:r>
        <w:rPr>
          <w:rFonts w:ascii="Times New Roman" w:hAnsi="Times New Roman"/>
          <w:color w:val="000000"/>
          <w:sz w:val="28"/>
          <w:szCs w:val="28"/>
        </w:rPr>
        <w:t>.</w:t>
      </w:r>
      <w:r>
        <w:rPr>
          <w:rFonts w:ascii="Times New Roman" w:hAnsi="Times New Roman"/>
          <w:color w:val="000000"/>
          <w:sz w:val="28"/>
          <w:szCs w:val="28"/>
          <w:lang w:val="en-US"/>
        </w:rPr>
        <w:t>T</w:t>
      </w:r>
      <w:r>
        <w:rPr>
          <w:rFonts w:ascii="Times New Roman" w:hAnsi="Times New Roman"/>
          <w:color w:val="000000"/>
          <w:sz w:val="28"/>
          <w:szCs w:val="28"/>
        </w:rPr>
        <w:t xml:space="preserve">. </w:t>
      </w:r>
      <w:r>
        <w:rPr>
          <w:rFonts w:ascii="Times New Roman" w:hAnsi="Times New Roman"/>
          <w:color w:val="000000"/>
          <w:sz w:val="28"/>
          <w:szCs w:val="28"/>
          <w:lang w:val="en-US"/>
        </w:rPr>
        <w:t>Pechenochnaja</w:t>
      </w:r>
      <w:r>
        <w:rPr>
          <w:rFonts w:ascii="Times New Roman" w:hAnsi="Times New Roman"/>
          <w:color w:val="000000"/>
          <w:sz w:val="28"/>
          <w:szCs w:val="28"/>
        </w:rPr>
        <w:t xml:space="preserve"> </w:t>
      </w:r>
      <w:r>
        <w:rPr>
          <w:rFonts w:ascii="Times New Roman" w:hAnsi="Times New Roman"/>
          <w:color w:val="000000"/>
          <w:sz w:val="28"/>
          <w:szCs w:val="28"/>
          <w:lang w:val="en-US"/>
        </w:rPr>
        <w:t>jencefalopatija</w:t>
      </w:r>
      <w:r>
        <w:rPr>
          <w:rFonts w:ascii="Times New Roman" w:hAnsi="Times New Roman"/>
          <w:color w:val="000000"/>
          <w:sz w:val="28"/>
          <w:szCs w:val="28"/>
        </w:rPr>
        <w:t xml:space="preserve">: </w:t>
      </w:r>
      <w:r>
        <w:rPr>
          <w:rFonts w:ascii="Times New Roman" w:hAnsi="Times New Roman"/>
          <w:color w:val="000000"/>
          <w:sz w:val="28"/>
          <w:szCs w:val="28"/>
          <w:lang w:val="en-US"/>
        </w:rPr>
        <w:t>patogenez</w:t>
      </w:r>
      <w:r>
        <w:rPr>
          <w:rFonts w:ascii="Times New Roman" w:hAnsi="Times New Roman"/>
          <w:color w:val="000000"/>
          <w:sz w:val="28"/>
          <w:szCs w:val="28"/>
        </w:rPr>
        <w:t xml:space="preserve">, </w:t>
      </w:r>
      <w:r>
        <w:rPr>
          <w:rFonts w:ascii="Times New Roman" w:hAnsi="Times New Roman"/>
          <w:color w:val="000000"/>
          <w:sz w:val="28"/>
          <w:szCs w:val="28"/>
          <w:lang w:val="en-US"/>
        </w:rPr>
        <w:t>klinika</w:t>
      </w:r>
      <w:r>
        <w:rPr>
          <w:rFonts w:ascii="Times New Roman" w:hAnsi="Times New Roman"/>
          <w:color w:val="000000"/>
          <w:sz w:val="28"/>
          <w:szCs w:val="28"/>
        </w:rPr>
        <w:t xml:space="preserve">, </w:t>
      </w:r>
      <w:r>
        <w:rPr>
          <w:rFonts w:ascii="Times New Roman" w:hAnsi="Times New Roman"/>
          <w:color w:val="000000"/>
          <w:sz w:val="28"/>
          <w:szCs w:val="28"/>
          <w:lang w:val="en-US"/>
        </w:rPr>
        <w:t>diagnostika</w:t>
      </w:r>
      <w:r>
        <w:rPr>
          <w:rFonts w:ascii="Times New Roman" w:hAnsi="Times New Roman"/>
          <w:color w:val="000000"/>
          <w:sz w:val="28"/>
          <w:szCs w:val="28"/>
        </w:rPr>
        <w:t xml:space="preserve">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ascii="Times New Roman" w:hAnsi="Times New Roman"/>
          <w:color w:val="000000"/>
          <w:sz w:val="28"/>
          <w:szCs w:val="28"/>
          <w:lang w:val="en-US"/>
        </w:rPr>
        <w:t>terapija</w:t>
      </w:r>
      <w:r>
        <w:rPr>
          <w:rFonts w:ascii="Times New Roman" w:hAnsi="Times New Roman"/>
          <w:color w:val="000000"/>
          <w:sz w:val="28"/>
          <w:szCs w:val="28"/>
        </w:rPr>
        <w:t xml:space="preserve">. </w:t>
      </w:r>
      <w:r>
        <w:rPr>
          <w:rFonts w:ascii="Times New Roman" w:hAnsi="Times New Roman"/>
          <w:color w:val="000000"/>
          <w:sz w:val="28"/>
          <w:szCs w:val="28"/>
          <w:lang w:val="en-US"/>
        </w:rPr>
        <w:t>Rossijskij zhurnal gastrojenterologii, gepatologii i koloproktologii. 2016;1:44-53</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Akalaev</w:t>
      </w:r>
      <w:r>
        <w:rPr>
          <w:rFonts w:ascii="Times New Roman" w:hAnsi="Times New Roman"/>
          <w:color w:val="000000"/>
          <w:sz w:val="28"/>
          <w:szCs w:val="28"/>
        </w:rPr>
        <w:t xml:space="preserve"> </w:t>
      </w:r>
      <w:r>
        <w:rPr>
          <w:rFonts w:ascii="Times New Roman" w:hAnsi="Times New Roman"/>
          <w:color w:val="000000"/>
          <w:sz w:val="28"/>
          <w:szCs w:val="28"/>
          <w:lang w:val="en-US"/>
        </w:rPr>
        <w:t>R</w:t>
      </w:r>
      <w:r>
        <w:rPr>
          <w:rFonts w:ascii="Times New Roman" w:hAnsi="Times New Roman"/>
          <w:color w:val="000000"/>
          <w:sz w:val="28"/>
          <w:szCs w:val="28"/>
        </w:rPr>
        <w:t>.</w:t>
      </w:r>
      <w:r>
        <w:rPr>
          <w:rFonts w:ascii="Times New Roman" w:hAnsi="Times New Roman"/>
          <w:color w:val="000000"/>
          <w:sz w:val="28"/>
          <w:szCs w:val="28"/>
          <w:lang w:val="en-US"/>
        </w:rPr>
        <w:t>N</w:t>
      </w:r>
      <w:r>
        <w:rPr>
          <w:rFonts w:ascii="Times New Roman" w:hAnsi="Times New Roman"/>
          <w:color w:val="000000"/>
          <w:sz w:val="28"/>
          <w:szCs w:val="28"/>
        </w:rPr>
        <w:t xml:space="preserve">., </w:t>
      </w:r>
      <w:r>
        <w:rPr>
          <w:rFonts w:ascii="Times New Roman" w:hAnsi="Times New Roman"/>
          <w:color w:val="000000"/>
          <w:sz w:val="28"/>
          <w:szCs w:val="28"/>
          <w:lang w:val="en-US"/>
        </w:rPr>
        <w:t>Sharipova</w:t>
      </w:r>
      <w:r>
        <w:rPr>
          <w:rFonts w:ascii="Times New Roman" w:hAnsi="Times New Roman"/>
          <w:color w:val="000000"/>
          <w:sz w:val="28"/>
          <w:szCs w:val="28"/>
        </w:rPr>
        <w:t xml:space="preserve"> </w:t>
      </w:r>
      <w:r>
        <w:rPr>
          <w:rFonts w:ascii="Times New Roman" w:hAnsi="Times New Roman"/>
          <w:color w:val="000000"/>
          <w:sz w:val="28"/>
          <w:szCs w:val="28"/>
          <w:lang w:val="en-US"/>
        </w:rPr>
        <w:t>V</w:t>
      </w:r>
      <w:r>
        <w:rPr>
          <w:rFonts w:ascii="Times New Roman" w:hAnsi="Times New Roman"/>
          <w:color w:val="000000"/>
          <w:sz w:val="28"/>
          <w:szCs w:val="28"/>
        </w:rPr>
        <w:t>.</w:t>
      </w:r>
      <w:r>
        <w:rPr>
          <w:rFonts w:ascii="Times New Roman" w:hAnsi="Times New Roman"/>
          <w:color w:val="000000"/>
          <w:sz w:val="28"/>
          <w:szCs w:val="28"/>
          <w:lang w:val="en-US"/>
        </w:rPr>
        <w:t>H</w:t>
      </w:r>
      <w:r>
        <w:rPr>
          <w:rFonts w:ascii="Times New Roman" w:hAnsi="Times New Roman"/>
          <w:color w:val="000000"/>
          <w:sz w:val="28"/>
          <w:szCs w:val="28"/>
        </w:rPr>
        <w:t xml:space="preserve">., </w:t>
      </w:r>
      <w:r>
        <w:rPr>
          <w:rFonts w:ascii="Times New Roman" w:hAnsi="Times New Roman"/>
          <w:color w:val="000000"/>
          <w:sz w:val="28"/>
          <w:szCs w:val="28"/>
          <w:lang w:val="en-US"/>
        </w:rPr>
        <w:t>Stopnickij</w:t>
      </w:r>
      <w:r>
        <w:rPr>
          <w:rFonts w:ascii="Times New Roman" w:hAnsi="Times New Roman"/>
          <w:color w:val="000000"/>
          <w:sz w:val="28"/>
          <w:szCs w:val="28"/>
        </w:rPr>
        <w:t xml:space="preserve"> </w:t>
      </w:r>
      <w:r>
        <w:rPr>
          <w:rFonts w:ascii="Times New Roman" w:hAnsi="Times New Roman"/>
          <w:color w:val="000000"/>
          <w:sz w:val="28"/>
          <w:szCs w:val="28"/>
          <w:lang w:val="en-US"/>
        </w:rPr>
        <w:t>A</w:t>
      </w:r>
      <w:r>
        <w:rPr>
          <w:rFonts w:ascii="Times New Roman" w:hAnsi="Times New Roman"/>
          <w:color w:val="000000"/>
          <w:sz w:val="28"/>
          <w:szCs w:val="28"/>
        </w:rPr>
        <w:t>.</w:t>
      </w:r>
      <w:r>
        <w:rPr>
          <w:rFonts w:ascii="Times New Roman" w:hAnsi="Times New Roman"/>
          <w:color w:val="000000"/>
          <w:sz w:val="28"/>
          <w:szCs w:val="28"/>
          <w:lang w:val="en-US"/>
        </w:rPr>
        <w:t>A</w:t>
      </w:r>
      <w:r>
        <w:rPr>
          <w:rFonts w:ascii="Times New Roman" w:hAnsi="Times New Roman"/>
          <w:color w:val="000000"/>
          <w:sz w:val="28"/>
          <w:szCs w:val="28"/>
        </w:rPr>
        <w:t xml:space="preserve">., </w:t>
      </w:r>
      <w:r>
        <w:rPr>
          <w:rFonts w:ascii="Times New Roman" w:hAnsi="Times New Roman"/>
          <w:color w:val="000000"/>
          <w:sz w:val="28"/>
          <w:szCs w:val="28"/>
          <w:lang w:val="en-US"/>
        </w:rPr>
        <w:t>Hozhiev</w:t>
      </w:r>
      <w:r>
        <w:rPr>
          <w:rFonts w:ascii="Times New Roman" w:hAnsi="Times New Roman"/>
          <w:color w:val="000000"/>
          <w:sz w:val="28"/>
          <w:szCs w:val="28"/>
        </w:rPr>
        <w:t xml:space="preserve"> </w:t>
      </w:r>
      <w:r>
        <w:rPr>
          <w:rFonts w:ascii="Times New Roman" w:hAnsi="Times New Roman"/>
          <w:color w:val="000000"/>
          <w:sz w:val="28"/>
          <w:szCs w:val="28"/>
          <w:lang w:val="en-US"/>
        </w:rPr>
        <w:t>H</w:t>
      </w:r>
      <w:r>
        <w:rPr>
          <w:rFonts w:ascii="Times New Roman" w:hAnsi="Times New Roman"/>
          <w:color w:val="000000"/>
          <w:sz w:val="28"/>
          <w:szCs w:val="28"/>
        </w:rPr>
        <w:t>.</w:t>
      </w:r>
      <w:r>
        <w:rPr>
          <w:rFonts w:ascii="Times New Roman" w:hAnsi="Times New Roman"/>
          <w:color w:val="000000"/>
          <w:sz w:val="28"/>
          <w:szCs w:val="28"/>
          <w:lang w:val="en-US"/>
        </w:rPr>
        <w:t>Sh</w:t>
      </w:r>
      <w:r>
        <w:rPr>
          <w:rFonts w:ascii="Times New Roman" w:hAnsi="Times New Roman"/>
          <w:color w:val="000000"/>
          <w:sz w:val="28"/>
          <w:szCs w:val="28"/>
        </w:rPr>
        <w:t xml:space="preserve">. </w:t>
      </w:r>
      <w:r>
        <w:rPr>
          <w:rFonts w:ascii="Times New Roman" w:hAnsi="Times New Roman"/>
          <w:color w:val="000000"/>
          <w:sz w:val="28"/>
          <w:szCs w:val="28"/>
          <w:lang w:val="en-US"/>
        </w:rPr>
        <w:t>Nejrotropnye</w:t>
      </w:r>
      <w:r>
        <w:rPr>
          <w:rFonts w:ascii="Times New Roman" w:hAnsi="Times New Roman"/>
          <w:color w:val="000000"/>
          <w:sz w:val="28"/>
          <w:szCs w:val="28"/>
        </w:rPr>
        <w:t xml:space="preserve"> </w:t>
      </w:r>
      <w:r>
        <w:rPr>
          <w:rFonts w:ascii="Times New Roman" w:hAnsi="Times New Roman"/>
          <w:color w:val="000000"/>
          <w:sz w:val="28"/>
          <w:szCs w:val="28"/>
          <w:lang w:val="en-US"/>
        </w:rPr>
        <w:t>jeffekty</w:t>
      </w:r>
      <w:r>
        <w:rPr>
          <w:rFonts w:ascii="Times New Roman" w:hAnsi="Times New Roman"/>
          <w:color w:val="000000"/>
          <w:sz w:val="28"/>
          <w:szCs w:val="28"/>
        </w:rPr>
        <w:t xml:space="preserve"> </w:t>
      </w:r>
      <w:r>
        <w:rPr>
          <w:rFonts w:ascii="Times New Roman" w:hAnsi="Times New Roman"/>
          <w:color w:val="000000"/>
          <w:sz w:val="28"/>
          <w:szCs w:val="28"/>
          <w:lang w:val="en-US"/>
        </w:rPr>
        <w:t>gepatoprotektorov</w:t>
      </w:r>
      <w:r>
        <w:rPr>
          <w:rFonts w:ascii="Times New Roman" w:hAnsi="Times New Roman"/>
          <w:color w:val="000000"/>
          <w:sz w:val="28"/>
          <w:szCs w:val="28"/>
        </w:rPr>
        <w:t xml:space="preserve"> </w:t>
      </w:r>
      <w:r>
        <w:rPr>
          <w:rFonts w:ascii="Times New Roman" w:hAnsi="Times New Roman"/>
          <w:color w:val="000000"/>
          <w:sz w:val="28"/>
          <w:szCs w:val="28"/>
          <w:lang w:val="en-US"/>
        </w:rPr>
        <w:t>pri</w:t>
      </w:r>
      <w:r>
        <w:rPr>
          <w:rFonts w:ascii="Times New Roman" w:hAnsi="Times New Roman"/>
          <w:color w:val="000000"/>
          <w:sz w:val="28"/>
          <w:szCs w:val="28"/>
        </w:rPr>
        <w:t xml:space="preserve"> </w:t>
      </w:r>
      <w:r>
        <w:rPr>
          <w:rFonts w:ascii="Times New Roman" w:hAnsi="Times New Roman"/>
          <w:color w:val="000000"/>
          <w:sz w:val="28"/>
          <w:szCs w:val="28"/>
          <w:lang w:val="en-US"/>
        </w:rPr>
        <w:t>otravlenii</w:t>
      </w:r>
      <w:r>
        <w:rPr>
          <w:rFonts w:ascii="Times New Roman" w:hAnsi="Times New Roman"/>
          <w:color w:val="000000"/>
          <w:sz w:val="28"/>
          <w:szCs w:val="28"/>
        </w:rPr>
        <w:t xml:space="preserve"> </w:t>
      </w:r>
      <w:r>
        <w:rPr>
          <w:rFonts w:ascii="Times New Roman" w:hAnsi="Times New Roman"/>
          <w:color w:val="000000"/>
          <w:sz w:val="28"/>
          <w:szCs w:val="28"/>
          <w:lang w:val="en-US"/>
        </w:rPr>
        <w:t>alkogolem</w:t>
      </w:r>
      <w:r>
        <w:rPr>
          <w:rFonts w:ascii="Times New Roman" w:hAnsi="Times New Roman"/>
          <w:color w:val="000000"/>
          <w:sz w:val="28"/>
          <w:szCs w:val="28"/>
        </w:rPr>
        <w:t xml:space="preserve">. </w:t>
      </w:r>
      <w:r>
        <w:rPr>
          <w:rFonts w:ascii="Times New Roman" w:hAnsi="Times New Roman"/>
          <w:color w:val="000000"/>
          <w:sz w:val="28"/>
          <w:szCs w:val="28"/>
          <w:lang w:val="en-US"/>
        </w:rPr>
        <w:t>Obshhaja reanimatologija. 2019; 15(4):4-10. DOI: 10.15360/1813-9779-2019-4-4-10</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 xml:space="preserve"> Plotnikova E.Ju. Varianty giperammoniemii v klinicheskoj praktike. Spravochnik zavedujushhego KDP.2021;4:40-51</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en-US"/>
        </w:rPr>
        <w:t>Alekseenko</w:t>
      </w:r>
      <w:r>
        <w:rPr>
          <w:rFonts w:ascii="Times New Roman" w:hAnsi="Times New Roman"/>
          <w:color w:val="000000"/>
          <w:sz w:val="28"/>
          <w:szCs w:val="28"/>
        </w:rPr>
        <w:t xml:space="preserve"> </w:t>
      </w:r>
      <w:r>
        <w:rPr>
          <w:rFonts w:ascii="Times New Roman" w:hAnsi="Times New Roman"/>
          <w:color w:val="000000"/>
          <w:sz w:val="28"/>
          <w:szCs w:val="28"/>
          <w:lang w:val="en-US"/>
        </w:rPr>
        <w:t>S</w:t>
      </w:r>
      <w:r>
        <w:rPr>
          <w:rFonts w:ascii="Times New Roman" w:hAnsi="Times New Roman"/>
          <w:color w:val="000000"/>
          <w:sz w:val="28"/>
          <w:szCs w:val="28"/>
        </w:rPr>
        <w:t>.</w:t>
      </w:r>
      <w:r>
        <w:rPr>
          <w:rFonts w:ascii="Times New Roman" w:hAnsi="Times New Roman"/>
          <w:color w:val="000000"/>
          <w:sz w:val="28"/>
          <w:szCs w:val="28"/>
          <w:lang w:val="en-US"/>
        </w:rPr>
        <w:t>A</w:t>
      </w:r>
      <w:r>
        <w:rPr>
          <w:rFonts w:ascii="Times New Roman" w:hAnsi="Times New Roman"/>
          <w:color w:val="000000"/>
          <w:sz w:val="28"/>
          <w:szCs w:val="28"/>
        </w:rPr>
        <w:t xml:space="preserve">., </w:t>
      </w:r>
      <w:r>
        <w:rPr>
          <w:rFonts w:ascii="Times New Roman" w:hAnsi="Times New Roman"/>
          <w:color w:val="000000"/>
          <w:sz w:val="28"/>
          <w:szCs w:val="28"/>
          <w:lang w:val="en-US"/>
        </w:rPr>
        <w:t>Ageeva</w:t>
      </w:r>
      <w:r>
        <w:rPr>
          <w:rFonts w:ascii="Times New Roman" w:hAnsi="Times New Roman"/>
          <w:color w:val="000000"/>
          <w:sz w:val="28"/>
          <w:szCs w:val="28"/>
        </w:rPr>
        <w:t xml:space="preserve"> </w:t>
      </w:r>
      <w:r>
        <w:rPr>
          <w:rFonts w:ascii="Times New Roman" w:hAnsi="Times New Roman"/>
          <w:color w:val="000000"/>
          <w:sz w:val="28"/>
          <w:szCs w:val="28"/>
          <w:lang w:val="en-US"/>
        </w:rPr>
        <w:t>E</w:t>
      </w:r>
      <w:r>
        <w:rPr>
          <w:rFonts w:ascii="Times New Roman" w:hAnsi="Times New Roman"/>
          <w:color w:val="000000"/>
          <w:sz w:val="28"/>
          <w:szCs w:val="28"/>
        </w:rPr>
        <w:t>.</w:t>
      </w:r>
      <w:r>
        <w:rPr>
          <w:rFonts w:ascii="Times New Roman" w:hAnsi="Times New Roman"/>
          <w:color w:val="000000"/>
          <w:sz w:val="28"/>
          <w:szCs w:val="28"/>
          <w:lang w:val="en-US"/>
        </w:rPr>
        <w:t>A</w:t>
      </w:r>
      <w:r>
        <w:rPr>
          <w:rFonts w:ascii="Times New Roman" w:hAnsi="Times New Roman"/>
          <w:color w:val="000000"/>
          <w:sz w:val="28"/>
          <w:szCs w:val="28"/>
        </w:rPr>
        <w:t xml:space="preserve">., </w:t>
      </w:r>
      <w:r>
        <w:rPr>
          <w:rFonts w:ascii="Times New Roman" w:hAnsi="Times New Roman"/>
          <w:color w:val="000000"/>
          <w:sz w:val="28"/>
          <w:szCs w:val="28"/>
          <w:lang w:val="en-US"/>
        </w:rPr>
        <w:t>Polkovnikova</w:t>
      </w:r>
      <w:r>
        <w:rPr>
          <w:rFonts w:ascii="Times New Roman" w:hAnsi="Times New Roman"/>
          <w:color w:val="000000"/>
          <w:sz w:val="28"/>
          <w:szCs w:val="28"/>
        </w:rPr>
        <w:t xml:space="preserve"> </w:t>
      </w:r>
      <w:r>
        <w:rPr>
          <w:rFonts w:ascii="Times New Roman" w:hAnsi="Times New Roman"/>
          <w:color w:val="000000"/>
          <w:sz w:val="28"/>
          <w:szCs w:val="28"/>
          <w:lang w:val="en-US"/>
        </w:rPr>
        <w:t>O</w:t>
      </w:r>
      <w:r>
        <w:rPr>
          <w:rFonts w:ascii="Times New Roman" w:hAnsi="Times New Roman"/>
          <w:color w:val="000000"/>
          <w:sz w:val="28"/>
          <w:szCs w:val="28"/>
        </w:rPr>
        <w:t>.</w:t>
      </w:r>
      <w:r>
        <w:rPr>
          <w:rFonts w:ascii="Times New Roman" w:hAnsi="Times New Roman"/>
          <w:color w:val="000000"/>
          <w:sz w:val="28"/>
          <w:szCs w:val="28"/>
          <w:lang w:val="en-US"/>
        </w:rPr>
        <w:t>P</w:t>
      </w:r>
      <w:r>
        <w:rPr>
          <w:rFonts w:ascii="Times New Roman" w:hAnsi="Times New Roman"/>
          <w:color w:val="000000"/>
          <w:sz w:val="28"/>
          <w:szCs w:val="28"/>
        </w:rPr>
        <w:t xml:space="preserve">. </w:t>
      </w:r>
      <w:r>
        <w:rPr>
          <w:rFonts w:ascii="Times New Roman" w:hAnsi="Times New Roman"/>
          <w:color w:val="000000"/>
          <w:sz w:val="28"/>
          <w:szCs w:val="28"/>
          <w:lang w:val="en-US"/>
        </w:rPr>
        <w:t>Sovremennye</w:t>
      </w:r>
      <w:r>
        <w:rPr>
          <w:rFonts w:ascii="Times New Roman" w:hAnsi="Times New Roman"/>
          <w:color w:val="000000"/>
          <w:sz w:val="28"/>
          <w:szCs w:val="28"/>
        </w:rPr>
        <w:t xml:space="preserve"> </w:t>
      </w:r>
      <w:r>
        <w:rPr>
          <w:rFonts w:ascii="Times New Roman" w:hAnsi="Times New Roman"/>
          <w:color w:val="000000"/>
          <w:sz w:val="28"/>
          <w:szCs w:val="28"/>
          <w:lang w:val="en-US"/>
        </w:rPr>
        <w:t>podhody</w:t>
      </w:r>
      <w:r>
        <w:rPr>
          <w:rFonts w:ascii="Times New Roman" w:hAnsi="Times New Roman"/>
          <w:color w:val="000000"/>
          <w:sz w:val="28"/>
          <w:szCs w:val="28"/>
        </w:rPr>
        <w:t xml:space="preserve"> </w:t>
      </w:r>
      <w:r>
        <w:rPr>
          <w:rFonts w:ascii="Times New Roman" w:hAnsi="Times New Roman"/>
          <w:color w:val="000000"/>
          <w:sz w:val="28"/>
          <w:szCs w:val="28"/>
          <w:lang w:val="en-US"/>
        </w:rPr>
        <w:t>k</w:t>
      </w:r>
      <w:r>
        <w:rPr>
          <w:rFonts w:ascii="Times New Roman" w:hAnsi="Times New Roman"/>
          <w:color w:val="000000"/>
          <w:sz w:val="28"/>
          <w:szCs w:val="28"/>
        </w:rPr>
        <w:t xml:space="preserve"> </w:t>
      </w:r>
      <w:r>
        <w:rPr>
          <w:rFonts w:ascii="Times New Roman" w:hAnsi="Times New Roman"/>
          <w:color w:val="000000"/>
          <w:sz w:val="28"/>
          <w:szCs w:val="28"/>
          <w:lang w:val="en-US"/>
        </w:rPr>
        <w:t>diagnostike</w:t>
      </w:r>
      <w:r>
        <w:rPr>
          <w:rFonts w:ascii="Times New Roman" w:hAnsi="Times New Roman"/>
          <w:color w:val="000000"/>
          <w:sz w:val="28"/>
          <w:szCs w:val="28"/>
        </w:rPr>
        <w:t xml:space="preserve">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ascii="Times New Roman" w:hAnsi="Times New Roman"/>
          <w:color w:val="000000"/>
          <w:sz w:val="28"/>
          <w:szCs w:val="28"/>
          <w:lang w:val="en-US"/>
        </w:rPr>
        <w:t>lecheniju</w:t>
      </w:r>
      <w:r>
        <w:rPr>
          <w:rFonts w:ascii="Times New Roman" w:hAnsi="Times New Roman"/>
          <w:color w:val="000000"/>
          <w:sz w:val="28"/>
          <w:szCs w:val="28"/>
        </w:rPr>
        <w:t xml:space="preserve"> </w:t>
      </w:r>
      <w:r>
        <w:rPr>
          <w:rFonts w:ascii="Times New Roman" w:hAnsi="Times New Roman"/>
          <w:color w:val="000000"/>
          <w:sz w:val="28"/>
          <w:szCs w:val="28"/>
          <w:lang w:val="en-US"/>
        </w:rPr>
        <w:t>giperammoniemii</w:t>
      </w:r>
      <w:r>
        <w:rPr>
          <w:rFonts w:ascii="Times New Roman" w:hAnsi="Times New Roman"/>
          <w:color w:val="000000"/>
          <w:sz w:val="28"/>
          <w:szCs w:val="28"/>
        </w:rPr>
        <w:t xml:space="preserve"> </w:t>
      </w:r>
      <w:r>
        <w:rPr>
          <w:rFonts w:ascii="Times New Roman" w:hAnsi="Times New Roman"/>
          <w:color w:val="000000"/>
          <w:sz w:val="28"/>
          <w:szCs w:val="28"/>
          <w:lang w:val="en-US"/>
        </w:rPr>
        <w:t>u</w:t>
      </w:r>
      <w:r>
        <w:rPr>
          <w:rFonts w:ascii="Times New Roman" w:hAnsi="Times New Roman"/>
          <w:color w:val="000000"/>
          <w:sz w:val="28"/>
          <w:szCs w:val="28"/>
        </w:rPr>
        <w:t xml:space="preserve"> </w:t>
      </w:r>
      <w:r>
        <w:rPr>
          <w:rFonts w:ascii="Times New Roman" w:hAnsi="Times New Roman"/>
          <w:color w:val="000000"/>
          <w:sz w:val="28"/>
          <w:szCs w:val="28"/>
          <w:lang w:val="en-US"/>
        </w:rPr>
        <w:t>pacientov</w:t>
      </w:r>
      <w:r>
        <w:rPr>
          <w:rFonts w:ascii="Times New Roman" w:hAnsi="Times New Roman"/>
          <w:color w:val="000000"/>
          <w:sz w:val="28"/>
          <w:szCs w:val="28"/>
        </w:rPr>
        <w:t xml:space="preserve"> </w:t>
      </w:r>
      <w:r>
        <w:rPr>
          <w:rFonts w:ascii="Times New Roman" w:hAnsi="Times New Roman"/>
          <w:color w:val="000000"/>
          <w:sz w:val="28"/>
          <w:szCs w:val="28"/>
          <w:lang w:val="en-US"/>
        </w:rPr>
        <w:t>s</w:t>
      </w:r>
      <w:r>
        <w:rPr>
          <w:rFonts w:ascii="Times New Roman" w:hAnsi="Times New Roman"/>
          <w:color w:val="000000"/>
          <w:sz w:val="28"/>
          <w:szCs w:val="28"/>
        </w:rPr>
        <w:t xml:space="preserve"> </w:t>
      </w:r>
      <w:r>
        <w:rPr>
          <w:rFonts w:ascii="Times New Roman" w:hAnsi="Times New Roman"/>
          <w:color w:val="000000"/>
          <w:sz w:val="28"/>
          <w:szCs w:val="28"/>
          <w:lang w:val="en-US"/>
        </w:rPr>
        <w:t>hronicheskimi</w:t>
      </w:r>
      <w:r>
        <w:rPr>
          <w:rFonts w:ascii="Times New Roman" w:hAnsi="Times New Roman"/>
          <w:color w:val="000000"/>
          <w:sz w:val="28"/>
          <w:szCs w:val="28"/>
        </w:rPr>
        <w:t xml:space="preserve"> </w:t>
      </w:r>
      <w:r>
        <w:rPr>
          <w:rFonts w:ascii="Times New Roman" w:hAnsi="Times New Roman"/>
          <w:color w:val="000000"/>
          <w:sz w:val="28"/>
          <w:szCs w:val="28"/>
          <w:lang w:val="en-US"/>
        </w:rPr>
        <w:t>zabolevanijami</w:t>
      </w:r>
      <w:r>
        <w:rPr>
          <w:rFonts w:ascii="Times New Roman" w:hAnsi="Times New Roman"/>
          <w:color w:val="000000"/>
          <w:sz w:val="28"/>
          <w:szCs w:val="28"/>
        </w:rPr>
        <w:t xml:space="preserve"> </w:t>
      </w:r>
      <w:r>
        <w:rPr>
          <w:rFonts w:ascii="Times New Roman" w:hAnsi="Times New Roman"/>
          <w:color w:val="000000"/>
          <w:sz w:val="28"/>
          <w:szCs w:val="28"/>
          <w:lang w:val="en-US"/>
        </w:rPr>
        <w:t>pecheni</w:t>
      </w:r>
      <w:r>
        <w:rPr>
          <w:rFonts w:ascii="Times New Roman" w:hAnsi="Times New Roman"/>
          <w:color w:val="000000"/>
          <w:sz w:val="28"/>
          <w:szCs w:val="28"/>
        </w:rPr>
        <w:t xml:space="preserve"> </w:t>
      </w:r>
      <w:r>
        <w:rPr>
          <w:rFonts w:ascii="Times New Roman" w:hAnsi="Times New Roman"/>
          <w:color w:val="000000"/>
          <w:sz w:val="28"/>
          <w:szCs w:val="28"/>
          <w:lang w:val="en-US"/>
        </w:rPr>
        <w:t>na</w:t>
      </w:r>
      <w:r>
        <w:rPr>
          <w:rFonts w:ascii="Times New Roman" w:hAnsi="Times New Roman"/>
          <w:color w:val="000000"/>
          <w:sz w:val="28"/>
          <w:szCs w:val="28"/>
        </w:rPr>
        <w:t xml:space="preserve"> </w:t>
      </w:r>
      <w:r>
        <w:rPr>
          <w:rFonts w:ascii="Times New Roman" w:hAnsi="Times New Roman"/>
          <w:color w:val="000000"/>
          <w:sz w:val="28"/>
          <w:szCs w:val="28"/>
          <w:lang w:val="en-US"/>
        </w:rPr>
        <w:t>docirroticheskoj</w:t>
      </w:r>
      <w:r>
        <w:rPr>
          <w:rFonts w:ascii="Times New Roman" w:hAnsi="Times New Roman"/>
          <w:color w:val="000000"/>
          <w:sz w:val="28"/>
          <w:szCs w:val="28"/>
        </w:rPr>
        <w:t xml:space="preserve"> </w:t>
      </w:r>
      <w:r>
        <w:rPr>
          <w:rFonts w:ascii="Times New Roman" w:hAnsi="Times New Roman"/>
          <w:color w:val="000000"/>
          <w:sz w:val="28"/>
          <w:szCs w:val="28"/>
          <w:lang w:val="en-US"/>
        </w:rPr>
        <w:t>stadii</w:t>
      </w:r>
      <w:r>
        <w:rPr>
          <w:rFonts w:ascii="Times New Roman" w:hAnsi="Times New Roman"/>
          <w:color w:val="000000"/>
          <w:sz w:val="28"/>
          <w:szCs w:val="28"/>
        </w:rPr>
        <w:t xml:space="preserve">. </w:t>
      </w:r>
      <w:r>
        <w:rPr>
          <w:rFonts w:ascii="Times New Roman" w:hAnsi="Times New Roman"/>
          <w:color w:val="000000"/>
          <w:sz w:val="28"/>
          <w:szCs w:val="28"/>
          <w:lang w:val="en-US"/>
        </w:rPr>
        <w:t>Russkij medicinskij zhurnal. Medicinskoe obozrenie. 2018;2(7-1):19-23</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Pr>
          <w:rFonts w:ascii="Times New Roman" w:hAnsi="Times New Roman"/>
          <w:color w:val="000000"/>
          <w:sz w:val="28"/>
          <w:szCs w:val="28"/>
          <w:lang w:val="en-US"/>
        </w:rPr>
        <w:t>Plotnikova</w:t>
      </w:r>
      <w:r>
        <w:rPr>
          <w:rFonts w:ascii="Times New Roman" w:hAnsi="Times New Roman"/>
          <w:color w:val="000000"/>
          <w:sz w:val="28"/>
          <w:szCs w:val="28"/>
        </w:rPr>
        <w:t xml:space="preserve"> </w:t>
      </w:r>
      <w:r>
        <w:rPr>
          <w:rFonts w:ascii="Times New Roman" w:hAnsi="Times New Roman"/>
          <w:color w:val="000000"/>
          <w:sz w:val="28"/>
          <w:szCs w:val="28"/>
          <w:lang w:val="en-US"/>
        </w:rPr>
        <w:t>E</w:t>
      </w:r>
      <w:r>
        <w:rPr>
          <w:rFonts w:ascii="Times New Roman" w:hAnsi="Times New Roman"/>
          <w:color w:val="000000"/>
          <w:sz w:val="28"/>
          <w:szCs w:val="28"/>
        </w:rPr>
        <w:t>.</w:t>
      </w:r>
      <w:r>
        <w:rPr>
          <w:rFonts w:ascii="Times New Roman" w:hAnsi="Times New Roman"/>
          <w:color w:val="000000"/>
          <w:sz w:val="28"/>
          <w:szCs w:val="28"/>
          <w:lang w:val="en-US"/>
        </w:rPr>
        <w:t>Ju</w:t>
      </w:r>
      <w:r>
        <w:rPr>
          <w:rFonts w:ascii="Times New Roman" w:hAnsi="Times New Roman"/>
          <w:color w:val="000000"/>
          <w:sz w:val="28"/>
          <w:szCs w:val="28"/>
        </w:rPr>
        <w:t xml:space="preserve">., </w:t>
      </w:r>
      <w:r>
        <w:rPr>
          <w:rFonts w:ascii="Times New Roman" w:hAnsi="Times New Roman"/>
          <w:color w:val="000000"/>
          <w:sz w:val="28"/>
          <w:szCs w:val="28"/>
          <w:lang w:val="en-US"/>
        </w:rPr>
        <w:t>Vorosova</w:t>
      </w:r>
      <w:r>
        <w:rPr>
          <w:rFonts w:ascii="Times New Roman" w:hAnsi="Times New Roman"/>
          <w:color w:val="000000"/>
          <w:sz w:val="28"/>
          <w:szCs w:val="28"/>
        </w:rPr>
        <w:t xml:space="preserve"> </w:t>
      </w:r>
      <w:r>
        <w:rPr>
          <w:rFonts w:ascii="Times New Roman" w:hAnsi="Times New Roman"/>
          <w:color w:val="000000"/>
          <w:sz w:val="28"/>
          <w:szCs w:val="28"/>
          <w:lang w:val="en-US"/>
        </w:rPr>
        <w:t>O</w:t>
      </w:r>
      <w:r>
        <w:rPr>
          <w:rFonts w:ascii="Times New Roman" w:hAnsi="Times New Roman"/>
          <w:color w:val="000000"/>
          <w:sz w:val="28"/>
          <w:szCs w:val="28"/>
        </w:rPr>
        <w:t>.</w:t>
      </w:r>
      <w:r>
        <w:rPr>
          <w:rFonts w:ascii="Times New Roman" w:hAnsi="Times New Roman"/>
          <w:color w:val="000000"/>
          <w:sz w:val="28"/>
          <w:szCs w:val="28"/>
          <w:lang w:val="en-US"/>
        </w:rPr>
        <w:t>A</w:t>
      </w:r>
      <w:r>
        <w:rPr>
          <w:rFonts w:ascii="Times New Roman" w:hAnsi="Times New Roman"/>
          <w:color w:val="000000"/>
          <w:sz w:val="28"/>
          <w:szCs w:val="28"/>
        </w:rPr>
        <w:t xml:space="preserve">., </w:t>
      </w:r>
      <w:r>
        <w:rPr>
          <w:rFonts w:ascii="Times New Roman" w:hAnsi="Times New Roman"/>
          <w:color w:val="000000"/>
          <w:sz w:val="28"/>
          <w:szCs w:val="28"/>
          <w:lang w:val="en-US"/>
        </w:rPr>
        <w:t>Baranova</w:t>
      </w:r>
      <w:r>
        <w:rPr>
          <w:rFonts w:ascii="Times New Roman" w:hAnsi="Times New Roman"/>
          <w:color w:val="000000"/>
          <w:sz w:val="28"/>
          <w:szCs w:val="28"/>
        </w:rPr>
        <w:t xml:space="preserve"> </w:t>
      </w:r>
      <w:r>
        <w:rPr>
          <w:rFonts w:ascii="Times New Roman" w:hAnsi="Times New Roman"/>
          <w:color w:val="000000"/>
          <w:sz w:val="28"/>
          <w:szCs w:val="28"/>
          <w:lang w:val="en-US"/>
        </w:rPr>
        <w:t>E</w:t>
      </w:r>
      <w:r>
        <w:rPr>
          <w:rFonts w:ascii="Times New Roman" w:hAnsi="Times New Roman"/>
          <w:color w:val="000000"/>
          <w:sz w:val="28"/>
          <w:szCs w:val="28"/>
        </w:rPr>
        <w:t>.</w:t>
      </w:r>
      <w:r>
        <w:rPr>
          <w:rFonts w:ascii="Times New Roman" w:hAnsi="Times New Roman"/>
          <w:color w:val="000000"/>
          <w:sz w:val="28"/>
          <w:szCs w:val="28"/>
          <w:lang w:val="en-US"/>
        </w:rPr>
        <w:t>N</w:t>
      </w:r>
      <w:r>
        <w:rPr>
          <w:rFonts w:ascii="Times New Roman" w:hAnsi="Times New Roman"/>
          <w:color w:val="000000"/>
          <w:sz w:val="28"/>
          <w:szCs w:val="28"/>
        </w:rPr>
        <w:t xml:space="preserve">., </w:t>
      </w:r>
      <w:r>
        <w:rPr>
          <w:rFonts w:ascii="Times New Roman" w:hAnsi="Times New Roman"/>
          <w:color w:val="000000"/>
          <w:sz w:val="28"/>
          <w:szCs w:val="28"/>
          <w:lang w:val="en-US"/>
        </w:rPr>
        <w:t>Karjagina</w:t>
      </w:r>
      <w:r>
        <w:rPr>
          <w:rFonts w:ascii="Times New Roman" w:hAnsi="Times New Roman"/>
          <w:color w:val="000000"/>
          <w:sz w:val="28"/>
          <w:szCs w:val="28"/>
        </w:rPr>
        <w:t xml:space="preserve"> </w:t>
      </w:r>
      <w:r>
        <w:rPr>
          <w:rFonts w:ascii="Times New Roman" w:hAnsi="Times New Roman"/>
          <w:color w:val="000000"/>
          <w:sz w:val="28"/>
          <w:szCs w:val="28"/>
          <w:lang w:val="en-US"/>
        </w:rPr>
        <w:t>M</w:t>
      </w:r>
      <w:r>
        <w:rPr>
          <w:rFonts w:ascii="Times New Roman" w:hAnsi="Times New Roman"/>
          <w:color w:val="000000"/>
          <w:sz w:val="28"/>
          <w:szCs w:val="28"/>
        </w:rPr>
        <w:t>.</w:t>
      </w:r>
      <w:r>
        <w:rPr>
          <w:rFonts w:ascii="Times New Roman" w:hAnsi="Times New Roman"/>
          <w:color w:val="000000"/>
          <w:sz w:val="28"/>
          <w:szCs w:val="28"/>
          <w:lang w:val="en-US"/>
        </w:rPr>
        <w:t>S</w:t>
      </w:r>
      <w:r>
        <w:rPr>
          <w:rFonts w:ascii="Times New Roman" w:hAnsi="Times New Roman"/>
          <w:color w:val="000000"/>
          <w:sz w:val="28"/>
          <w:szCs w:val="28"/>
        </w:rPr>
        <w:t xml:space="preserve">., </w:t>
      </w:r>
      <w:r>
        <w:rPr>
          <w:rFonts w:ascii="Times New Roman" w:hAnsi="Times New Roman"/>
          <w:color w:val="000000"/>
          <w:sz w:val="28"/>
          <w:szCs w:val="28"/>
          <w:lang w:val="en-US"/>
        </w:rPr>
        <w:t>Kravnov</w:t>
      </w:r>
      <w:r>
        <w:rPr>
          <w:rFonts w:ascii="Times New Roman" w:hAnsi="Times New Roman"/>
          <w:color w:val="000000"/>
          <w:sz w:val="28"/>
          <w:szCs w:val="28"/>
        </w:rPr>
        <w:t xml:space="preserve"> </w:t>
      </w:r>
      <w:r>
        <w:rPr>
          <w:rFonts w:ascii="Times New Roman" w:hAnsi="Times New Roman"/>
          <w:color w:val="000000"/>
          <w:sz w:val="28"/>
          <w:szCs w:val="28"/>
          <w:lang w:val="en-US"/>
        </w:rPr>
        <w:t>K</w:t>
      </w:r>
      <w:r>
        <w:rPr>
          <w:rFonts w:ascii="Times New Roman" w:hAnsi="Times New Roman"/>
          <w:color w:val="000000"/>
          <w:sz w:val="28"/>
          <w:szCs w:val="28"/>
        </w:rPr>
        <w:t>.</w:t>
      </w:r>
      <w:r>
        <w:rPr>
          <w:rFonts w:ascii="Times New Roman" w:hAnsi="Times New Roman"/>
          <w:color w:val="000000"/>
          <w:sz w:val="28"/>
          <w:szCs w:val="28"/>
          <w:lang w:val="en-US"/>
        </w:rPr>
        <w:t>A</w:t>
      </w:r>
      <w:r>
        <w:rPr>
          <w:rFonts w:ascii="Times New Roman" w:hAnsi="Times New Roman"/>
          <w:color w:val="000000"/>
          <w:sz w:val="28"/>
          <w:szCs w:val="28"/>
        </w:rPr>
        <w:t>.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ascii="Times New Roman" w:hAnsi="Times New Roman"/>
          <w:color w:val="000000"/>
          <w:sz w:val="28"/>
          <w:szCs w:val="28"/>
          <w:lang w:val="en-US"/>
        </w:rPr>
        <w:t>dr</w:t>
      </w:r>
      <w:r>
        <w:rPr>
          <w:rFonts w:ascii="Times New Roman" w:hAnsi="Times New Roman"/>
          <w:color w:val="000000"/>
          <w:sz w:val="28"/>
          <w:szCs w:val="28"/>
        </w:rPr>
        <w:t xml:space="preserve">.]. </w:t>
      </w:r>
      <w:r>
        <w:rPr>
          <w:rFonts w:ascii="Times New Roman" w:hAnsi="Times New Roman"/>
          <w:color w:val="000000"/>
          <w:sz w:val="28"/>
          <w:szCs w:val="28"/>
          <w:lang w:val="en-US"/>
        </w:rPr>
        <w:t xml:space="preserve">Rabota v nochnuju smenu i giperammoniemija u vrachej. Rossijskij medicinskij zhurnal. </w:t>
      </w:r>
      <w:r>
        <w:rPr>
          <w:rFonts w:ascii="Times New Roman" w:hAnsi="Times New Roman"/>
          <w:color w:val="000000"/>
          <w:sz w:val="28"/>
          <w:szCs w:val="28"/>
        </w:rPr>
        <w:t xml:space="preserve">2021; 29(4):49-52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Ivnickij Ju.Ju., Shefer T.V. Rejnjuk V.L. Pereraspredelenie ammiaka mezhdu pishhevaritel'nym traktom i krov'ju pri modelirovanii alkogol'noj komy: rol' v formirovanii letal'nogo ishoda. Patologicheskaja fiziologija i jeksperimental'naja terapija. 2010;3:34-37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lang w:val="en-US"/>
        </w:rPr>
      </w:pPr>
      <w:r>
        <w:rPr>
          <w:rFonts w:ascii="Times New Roman" w:hAnsi="Times New Roman"/>
          <w:color w:val="000000"/>
          <w:sz w:val="28"/>
          <w:szCs w:val="28"/>
        </w:rPr>
        <w:t xml:space="preserve"> Lazebnik L.B., Golovanova E.V., Alekseenko S.A., Bueverov E.Ju., Dolgushina A.I. i soavt. </w:t>
      </w:r>
      <w:r>
        <w:rPr>
          <w:rFonts w:ascii="Times New Roman" w:hAnsi="Times New Roman"/>
          <w:color w:val="000000"/>
          <w:sz w:val="28"/>
          <w:szCs w:val="28"/>
          <w:lang w:val="en-US"/>
        </w:rPr>
        <w:t xml:space="preserve">Rossijskij konsensus «Giperammoniemii u vzroslyh». Jeksperimental'naja i klinicheskaja gastrojenterologija. 2019;172(12):4-23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lang w:val="en-US"/>
        </w:rPr>
        <w:t xml:space="preserve">  Plotnikova E.Ju., Makarova M.R., Gracheva T.Ju. Vozmozhnosti  primenenija L-ornitina v sportivnoj medicine. Sportivnaja medicina.2016;4:28-35</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autoSpaceDE w:val="0"/>
        <w:autoSpaceDN w:val="0"/>
        <w:adjustRightInd w:val="0"/>
        <w:spacing w:after="0" w:line="360" w:lineRule="auto"/>
        <w:ind w:left="0" w:firstLine="567"/>
        <w:jc w:val="both"/>
        <w:rPr>
          <w:rFonts w:ascii="Times New Roman" w:hAnsi="Times New Roman" w:cs="Times New Roman"/>
          <w:color w:val="212121"/>
          <w:sz w:val="28"/>
          <w:szCs w:val="28"/>
          <w:shd w:val="clear" w:color="auto" w:fill="FFFFFF"/>
          <w:lang w:val="en-US"/>
        </w:rPr>
      </w:pPr>
      <w:r>
        <w:rPr>
          <w:rFonts w:ascii="Times New Roman" w:hAnsi="Times New Roman" w:cs="Times New Roman"/>
          <w:color w:val="212121"/>
          <w:sz w:val="28"/>
          <w:szCs w:val="28"/>
          <w:shd w:val="clear" w:color="auto" w:fill="FFFFFF"/>
          <w:lang w:val="en-US"/>
        </w:rPr>
        <w:t xml:space="preserve"> Li Y., Zhou Q., Song J.N., Chen X.Z., Zhang X.Z. [et al.] Analysis of clinical prognosis in patients with non-hepatic hyperammonemia. Medicine (Baltimore). 2021;100(3):e24157. doi: 10.1097/MD.0000000000024157</w:t>
      </w:r>
      <w:r>
        <w:rPr>
          <w:rFonts w:ascii="Times New Roman" w:hAnsi="Times New Roman" w:cs="Times New Roman"/>
          <w:color w:val="212121"/>
          <w:sz w:val="28"/>
          <w:szCs w:val="28"/>
          <w:shd w:val="clear" w:color="auto" w:fill="FFFFFF"/>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212121"/>
          <w:sz w:val="28"/>
          <w:szCs w:val="28"/>
          <w:shd w:val="clear" w:color="auto" w:fill="FFFFFF"/>
          <w:lang w:val="en-US"/>
        </w:rPr>
        <w:t xml:space="preserve"> Sakusic A., Sabov M., McCambridge A.J., Rabinstein A.A., Singh T.D [et al.]  Features of Adult Hyperammonemia Not Due to Liver Failure in the ICU. Crit Care Med. 2018;46(9):e897-e903. doi: 10.1097/CCM.0000000000003278</w:t>
      </w:r>
      <w:r>
        <w:rPr>
          <w:rFonts w:ascii="Times New Roman" w:hAnsi="Times New Roman" w:cs="Times New Roman"/>
          <w:color w:val="212121"/>
          <w:sz w:val="28"/>
          <w:szCs w:val="28"/>
          <w:shd w:val="clear" w:color="auto" w:fill="FFFFFF"/>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autoSpaceDE w:val="0"/>
        <w:autoSpaceDN w:val="0"/>
        <w:adjustRightInd w:val="0"/>
        <w:spacing w:after="0" w:line="360" w:lineRule="auto"/>
        <w:ind w:left="0" w:firstLine="567"/>
        <w:jc w:val="both"/>
        <w:rPr>
          <w:rFonts w:ascii="Times New Roman" w:eastAsia="TimesNewRomanPSMT" w:hAnsi="Times New Roman" w:cs="Times New Roman"/>
          <w:color w:val="000000"/>
          <w:sz w:val="28"/>
          <w:szCs w:val="28"/>
          <w:lang w:val="en-US"/>
        </w:rPr>
      </w:pPr>
      <w:r>
        <w:rPr>
          <w:rFonts w:ascii="Times New Roman" w:hAnsi="Times New Roman" w:cs="Times New Roman"/>
          <w:color w:val="212121"/>
          <w:sz w:val="28"/>
          <w:szCs w:val="28"/>
          <w:shd w:val="clear" w:color="auto" w:fill="FFFFFF"/>
          <w:lang w:val="en-US"/>
        </w:rPr>
        <w:t xml:space="preserve"> Yao ZP, Li Y, Liu Y, Wang HL. Relationship between the incidence of non-hepatic hyperammonemia and the prognosis of patients in the intensive care unit. World J Gastroenterol. 2020;26(45):7222-7231. doi: 10.3748/wjg.v26.i45.7222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numPr>
          <w:ilvl w:val="0"/>
          <w:numId w:val="9"/>
        </w:numPr>
        <w:suppressAutoHyphens/>
        <w:spacing w:after="0" w:line="360" w:lineRule="auto"/>
        <w:ind w:left="0"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Vjalov S.S. Jendotoksiny, ammiak, zhirovaja bolezn' i fibroz pecheni. Doktor.Ru. 2018;7(151):18-24 DOI: 10.31550/1727-2378-2018-151-7-18-24</w:t>
      </w:r>
      <w:r>
        <w:rPr>
          <w:rFonts w:ascii="Times New Roman" w:hAnsi="Times New Roman"/>
          <w:color w:val="000000"/>
          <w:sz w:val="28"/>
          <w:szCs w:val="28"/>
        </w:rPr>
        <w:t xml:space="preserve"> </w:t>
      </w:r>
      <w:r>
        <w:rPr>
          <w:rFonts w:ascii="Times New Roman" w:eastAsia="Calibri" w:hAnsi="Times New Roman" w:cs="Times New Roman"/>
          <w:color w:val="000000"/>
          <w:sz w:val="28"/>
          <w:szCs w:val="28"/>
          <w:lang w:val="en-US"/>
        </w:rPr>
        <w:t>(in Russian)</w:t>
      </w:r>
      <w:r>
        <w:rPr>
          <w:rFonts w:ascii="Times New Roman" w:eastAsia="Calibri" w:hAnsi="Times New Roman" w:cs="Times New Roman"/>
          <w:bCs/>
          <w:iCs/>
          <w:color w:val="000000"/>
          <w:sz w:val="28"/>
          <w:szCs w:val="28"/>
          <w:lang w:val="en-US" w:eastAsia="ru-RU"/>
        </w:rPr>
        <w:t>.</w:t>
      </w:r>
    </w:p>
    <w:p>
      <w:pPr>
        <w:pStyle w:val="af"/>
        <w:suppressAutoHyphens/>
        <w:spacing w:after="0" w:line="360" w:lineRule="auto"/>
        <w:ind w:left="0" w:firstLine="567"/>
        <w:jc w:val="both"/>
        <w:rPr>
          <w:rFonts w:ascii="Times New Roman" w:hAnsi="Times New Roman"/>
          <w:color w:val="000000"/>
          <w:sz w:val="28"/>
          <w:szCs w:val="28"/>
        </w:rPr>
      </w:pPr>
    </w:p>
    <w:p>
      <w:pPr>
        <w:pageBreakBefore/>
        <w:widowControl w:val="0"/>
        <w:suppressAutoHyphens/>
        <w:spacing w:after="0" w:line="360" w:lineRule="auto"/>
        <w:ind w:firstLine="567"/>
        <w:jc w:val="both"/>
        <w:rPr>
          <w:rFonts w:ascii="Times New Roman" w:hAnsi="Times New Roman"/>
          <w:color w:val="222222"/>
          <w:sz w:val="24"/>
          <w:szCs w:val="24"/>
          <w:lang w:val="en-US"/>
        </w:rPr>
      </w:pPr>
      <w:r>
        <w:rPr>
          <w:rFonts w:ascii="Times New Roman" w:hAnsi="Times New Roman"/>
          <w:color w:val="000000"/>
          <w:sz w:val="24"/>
          <w:szCs w:val="24"/>
          <w:lang w:val="en-US"/>
        </w:rPr>
        <w:lastRenderedPageBreak/>
        <w:t xml:space="preserve">A. </w:t>
      </w:r>
      <w:r>
        <w:rPr>
          <w:rFonts w:ascii="Times New Roman" w:hAnsi="Times New Roman"/>
          <w:color w:val="222222"/>
          <w:sz w:val="24"/>
          <w:szCs w:val="24"/>
          <w:lang w:val="en-US"/>
        </w:rPr>
        <w:t>N. Lodyagin, A. G. Sinenchenko, B. V. Batotsyrenov, G. I. Sinenchenko</w:t>
      </w:r>
    </w:p>
    <w:p>
      <w:pPr>
        <w:widowControl w:val="0"/>
        <w:suppressAutoHyphens/>
        <w:spacing w:after="0" w:line="360" w:lineRule="auto"/>
        <w:ind w:firstLine="567"/>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EFFECT OF HYPERAMMONIEMIA ON THE COURSE OF DELIRIOUS SYNDROME IN ACUTE SEVERE POISONING WITH 1,4-BUTANDIOL AND METHODS OF ITS CORRECTION</w:t>
      </w:r>
    </w:p>
    <w:p>
      <w:pPr>
        <w:pStyle w:val="af1"/>
        <w:suppressAutoHyphens/>
        <w:spacing w:before="0" w:beforeAutospacing="0" w:after="0" w:afterAutospacing="0" w:line="360" w:lineRule="auto"/>
        <w:ind w:firstLine="567"/>
        <w:rPr>
          <w:rStyle w:val="a5"/>
          <w:b w:val="0"/>
          <w:color w:val="000000"/>
          <w:lang w:val="en-US"/>
        </w:rPr>
      </w:pPr>
      <w:r>
        <w:rPr>
          <w:rStyle w:val="a5"/>
          <w:b w:val="0"/>
          <w:bCs w:val="0"/>
          <w:color w:val="000000"/>
          <w:lang w:val="en-US"/>
        </w:rPr>
        <w:t xml:space="preserve">St. Petersburg I.I. Dzhanelidze Research Institute of Emergency Medicine, </w:t>
      </w:r>
      <w:r>
        <w:rPr>
          <w:bCs/>
          <w:color w:val="000000"/>
          <w:lang w:val="en-US"/>
        </w:rPr>
        <w:t xml:space="preserve">192242, </w:t>
      </w:r>
      <w:r>
        <w:rPr>
          <w:rStyle w:val="a5"/>
          <w:b w:val="0"/>
          <w:bCs w:val="0"/>
          <w:color w:val="000000"/>
          <w:lang w:val="en-US"/>
        </w:rPr>
        <w:t>St. Petersburg, Russian Federation.</w:t>
      </w:r>
    </w:p>
    <w:p>
      <w:pPr>
        <w:suppressAutoHyphens/>
        <w:spacing w:after="0" w:line="360" w:lineRule="auto"/>
        <w:ind w:firstLine="567"/>
        <w:jc w:val="both"/>
        <w:rPr>
          <w:rFonts w:ascii="Times New Roman" w:eastAsia="TimesNewRomanPSMT" w:hAnsi="Times New Roman" w:cs="Times New Roman"/>
          <w:color w:val="000000"/>
          <w:sz w:val="24"/>
          <w:szCs w:val="24"/>
          <w:lang w:val="en-US"/>
        </w:rPr>
      </w:pPr>
      <w:r>
        <w:rPr>
          <w:rFonts w:ascii="Times New Roman" w:eastAsia="TimesNewRomanPSMT" w:hAnsi="Times New Roman" w:cs="Times New Roman"/>
          <w:b/>
          <w:color w:val="000000"/>
          <w:sz w:val="24"/>
          <w:szCs w:val="24"/>
          <w:lang w:val="en-US"/>
        </w:rPr>
        <w:t>Introduction.</w:t>
      </w:r>
      <w:r>
        <w:rPr>
          <w:rFonts w:ascii="Times New Roman" w:eastAsia="TimesNewRomanPSMT" w:hAnsi="Times New Roman" w:cs="Times New Roman"/>
          <w:color w:val="000000"/>
          <w:sz w:val="24"/>
          <w:szCs w:val="24"/>
          <w:lang w:val="en-US"/>
        </w:rPr>
        <w:t xml:space="preserve"> The article presents an assessment of the effect of hyperammonemia on the course of delirious syndrome in acute severe poisoning with 1,4-butanediol and methods of its correction. Purpose of the study: to analyze the effect of free ammonia on the severity of delirium in acute severe poisoning with 1,4-butanediol and to develop methods for correcting hyperammonemia.</w:t>
      </w:r>
    </w:p>
    <w:p>
      <w:pPr>
        <w:suppressAutoHyphens/>
        <w:spacing w:after="0" w:line="360" w:lineRule="auto"/>
        <w:ind w:firstLine="567"/>
        <w:jc w:val="both"/>
        <w:rPr>
          <w:rFonts w:ascii="Times New Roman" w:eastAsia="TimesNewRomanPSMT" w:hAnsi="Times New Roman" w:cs="Times New Roman"/>
          <w:color w:val="000000"/>
          <w:sz w:val="24"/>
          <w:szCs w:val="24"/>
          <w:lang w:val="en-US"/>
        </w:rPr>
      </w:pPr>
      <w:r>
        <w:rPr>
          <w:rFonts w:ascii="Times New Roman" w:eastAsia="TimesNewRomanPSMT" w:hAnsi="Times New Roman" w:cs="Times New Roman"/>
          <w:b/>
          <w:color w:val="000000"/>
          <w:sz w:val="24"/>
          <w:szCs w:val="24"/>
          <w:lang w:val="en-US"/>
        </w:rPr>
        <w:t>Materials and methods.</w:t>
      </w:r>
      <w:r>
        <w:rPr>
          <w:rFonts w:ascii="Times New Roman" w:eastAsia="TimesNewRomanPSMT" w:hAnsi="Times New Roman" w:cs="Times New Roman"/>
          <w:color w:val="000000"/>
          <w:sz w:val="24"/>
          <w:szCs w:val="24"/>
          <w:lang w:val="en-US"/>
        </w:rPr>
        <w:t xml:space="preserve"> In the course of the work, a prospective examination was carried out of 59 male patients aged 20 to 45 years (the average age was 29.2 ± 4.47 years) of the intensive care unit and intensive care center of the center for the treatment of acute poisoning of the St. I.I. Dzhanelidze with acute severe poisoning with 1,4-butanediol, complicated by delirious syndrome. The results were statistically processed using the Statistica for Windows software (version 10). </w:t>
      </w:r>
    </w:p>
    <w:p>
      <w:pPr>
        <w:suppressAutoHyphens/>
        <w:spacing w:after="0" w:line="360" w:lineRule="auto"/>
        <w:ind w:firstLine="567"/>
        <w:jc w:val="both"/>
        <w:rPr>
          <w:rFonts w:ascii="Times New Roman" w:eastAsia="TimesNewRomanPSMT" w:hAnsi="Times New Roman" w:cs="Times New Roman"/>
          <w:color w:val="000000"/>
          <w:sz w:val="24"/>
          <w:szCs w:val="24"/>
          <w:lang w:val="en-US"/>
        </w:rPr>
      </w:pPr>
      <w:r>
        <w:rPr>
          <w:rFonts w:ascii="Times New Roman" w:eastAsia="TimesNewRomanPSMT" w:hAnsi="Times New Roman" w:cs="Times New Roman"/>
          <w:b/>
          <w:color w:val="000000"/>
          <w:sz w:val="24"/>
          <w:szCs w:val="24"/>
          <w:lang w:val="en-US"/>
        </w:rPr>
        <w:t>Results.</w:t>
      </w:r>
      <w:r>
        <w:rPr>
          <w:rFonts w:ascii="Times New Roman" w:eastAsia="TimesNewRomanPSMT" w:hAnsi="Times New Roman" w:cs="Times New Roman"/>
          <w:color w:val="000000"/>
          <w:sz w:val="24"/>
          <w:szCs w:val="24"/>
          <w:lang w:val="en-US"/>
        </w:rPr>
        <w:t xml:space="preserve"> During the study, patients with delirious syndrome were diagnosed with transient hyperammonemia of moderate severity according to the classification proposed by Lazebnik L.B. et al. (2019) with hepatocellular insufficiency syndrome. The factor of the increase in free ammonia in the blood was protein catabolism and tissue hypoxia. The use of a hepatoprotector based on a compound of arginine and glutamic acid "Glutargin" made it possible to correct metabolic disorders and significantly reduce the duration of exogenous psychosis and minimize post-delirious complications in the form of psychoorganic syndrome and severe postpsychotic asthenia.</w:t>
      </w:r>
    </w:p>
    <w:p>
      <w:pPr>
        <w:suppressAutoHyphens/>
        <w:spacing w:after="0" w:line="360" w:lineRule="auto"/>
        <w:ind w:firstLine="567"/>
        <w:jc w:val="both"/>
        <w:rPr>
          <w:rFonts w:ascii="Times New Roman" w:eastAsia="TimesNewRomanPSMT" w:hAnsi="Times New Roman" w:cs="Times New Roman"/>
          <w:b/>
          <w:color w:val="000000"/>
          <w:sz w:val="24"/>
          <w:szCs w:val="24"/>
          <w:lang w:val="en-US"/>
        </w:rPr>
      </w:pPr>
      <w:r>
        <w:rPr>
          <w:rFonts w:ascii="Times New Roman" w:eastAsia="Calibri" w:hAnsi="Times New Roman" w:cs="Times New Roman"/>
          <w:b/>
          <w:bCs/>
          <w:iCs/>
          <w:color w:val="000000"/>
          <w:sz w:val="24"/>
          <w:szCs w:val="24"/>
          <w:lang w:val="en-US" w:eastAsia="ru-RU"/>
        </w:rPr>
        <w:t>Limitations.</w:t>
      </w:r>
    </w:p>
    <w:p>
      <w:pPr>
        <w:suppressAutoHyphens/>
        <w:spacing w:after="0" w:line="360" w:lineRule="auto"/>
        <w:ind w:firstLine="567"/>
        <w:jc w:val="both"/>
        <w:rPr>
          <w:rFonts w:ascii="Times New Roman" w:eastAsia="TimesNewRomanPSMT" w:hAnsi="Times New Roman" w:cs="Times New Roman"/>
          <w:color w:val="000000"/>
          <w:sz w:val="24"/>
          <w:szCs w:val="24"/>
          <w:lang w:val="en-US"/>
        </w:rPr>
      </w:pPr>
      <w:r>
        <w:rPr>
          <w:rFonts w:ascii="Times New Roman" w:eastAsia="TimesNewRomanPSMT" w:hAnsi="Times New Roman" w:cs="Times New Roman"/>
          <w:color w:val="000000"/>
          <w:sz w:val="24"/>
          <w:szCs w:val="24"/>
          <w:lang w:val="en-US"/>
        </w:rPr>
        <w:t>When studying the effect of hyperammonemia on the course of the delirious syndrome in acute severe poisoning with 1,4-butanediol, a prospective examination of 59 male patients of the intensive care unit was carried out, whose intensive care included arginine glutamate (Glutargin), which made it possible to establish the cause of the prolonged course of delirium and improve the tactics of its treatment.</w:t>
      </w:r>
    </w:p>
    <w:p>
      <w:pPr>
        <w:suppressAutoHyphens/>
        <w:spacing w:after="0" w:line="360" w:lineRule="auto"/>
        <w:ind w:firstLine="567"/>
        <w:jc w:val="both"/>
        <w:rPr>
          <w:rFonts w:ascii="Times New Roman" w:eastAsia="TimesNewRomanPSMT" w:hAnsi="Times New Roman" w:cs="Times New Roman"/>
          <w:color w:val="000000"/>
          <w:sz w:val="24"/>
          <w:szCs w:val="24"/>
          <w:lang w:val="en-US"/>
        </w:rPr>
      </w:pPr>
      <w:r>
        <w:rPr>
          <w:rFonts w:ascii="Times New Roman" w:eastAsia="TimesNewRomanPSMT" w:hAnsi="Times New Roman" w:cs="Times New Roman"/>
          <w:b/>
          <w:color w:val="000000"/>
          <w:sz w:val="24"/>
          <w:szCs w:val="24"/>
          <w:lang w:val="en-US"/>
        </w:rPr>
        <w:t>Conclusion.</w:t>
      </w:r>
      <w:r>
        <w:rPr>
          <w:rFonts w:ascii="Times New Roman" w:eastAsia="TimesNewRomanPSMT" w:hAnsi="Times New Roman" w:cs="Times New Roman"/>
          <w:color w:val="000000"/>
          <w:sz w:val="24"/>
          <w:szCs w:val="24"/>
          <w:lang w:val="en-US"/>
        </w:rPr>
        <w:t xml:space="preserve"> Obtained in the present The study results demonstrate the high efficacy of the hepatoprotector "Glutargin" in relation to slowing the progression of the clinical course of post-intoxication delirium in acute severe poisoning with 1,4-butanediol. </w:t>
      </w:r>
    </w:p>
    <w:p>
      <w:pPr>
        <w:suppressAutoHyphens/>
        <w:spacing w:after="0" w:line="360" w:lineRule="auto"/>
        <w:ind w:firstLine="567"/>
        <w:jc w:val="both"/>
        <w:rPr>
          <w:rFonts w:ascii="Times New Roman" w:eastAsia="TimesNewRomanPSMT" w:hAnsi="Times New Roman" w:cs="Times New Roman"/>
          <w:color w:val="000000"/>
          <w:sz w:val="24"/>
          <w:szCs w:val="24"/>
        </w:rPr>
      </w:pPr>
      <w:r>
        <w:rPr>
          <w:rFonts w:ascii="Times New Roman" w:eastAsia="TimesNewRomanPSMT" w:hAnsi="Times New Roman" w:cs="Times New Roman"/>
          <w:b/>
          <w:color w:val="000000"/>
          <w:sz w:val="24"/>
          <w:szCs w:val="24"/>
          <w:lang w:val="en-US"/>
        </w:rPr>
        <w:t>Key words:</w:t>
      </w:r>
      <w:r>
        <w:rPr>
          <w:rFonts w:ascii="Times New Roman" w:eastAsia="TimesNewRomanPSMT" w:hAnsi="Times New Roman" w:cs="Times New Roman"/>
          <w:color w:val="000000"/>
          <w:sz w:val="24"/>
          <w:szCs w:val="24"/>
          <w:lang w:val="en-US"/>
        </w:rPr>
        <w:t xml:space="preserve"> multidisciplinary hospital, acute poisoning, toxicology, delirium, 1,4-butanediol, arginine glutamate,</w:t>
      </w:r>
      <w:bookmarkStart w:id="0" w:name="_GoBack"/>
      <w:bookmarkEnd w:id="0"/>
      <w:r>
        <w:rPr>
          <w:rFonts w:ascii="Times New Roman" w:eastAsia="TimesNewRomanPSMT" w:hAnsi="Times New Roman" w:cs="Times New Roman"/>
          <w:color w:val="000000"/>
          <w:sz w:val="24"/>
          <w:szCs w:val="24"/>
          <w:lang w:val="en-US"/>
        </w:rPr>
        <w:t xml:space="preserve"> Glutargin</w:t>
      </w:r>
    </w:p>
    <w:p>
      <w:pPr>
        <w:suppressAutoHyphens/>
        <w:spacing w:after="0" w:line="360" w:lineRule="auto"/>
        <w:ind w:firstLine="567"/>
        <w:jc w:val="both"/>
        <w:rPr>
          <w:rFonts w:ascii="Times New Roman" w:hAnsi="Times New Roman"/>
          <w:b/>
          <w:color w:val="000000" w:themeColor="text1"/>
          <w:sz w:val="24"/>
          <w:szCs w:val="24"/>
          <w:shd w:val="clear" w:color="auto" w:fill="FFFFFF"/>
        </w:rPr>
      </w:pPr>
      <w:r>
        <w:rPr>
          <w:rFonts w:ascii="Times New Roman" w:eastAsia="Calibri" w:hAnsi="Times New Roman" w:cs="Times New Roman"/>
          <w:b/>
          <w:color w:val="000000"/>
          <w:sz w:val="24"/>
          <w:szCs w:val="24"/>
          <w:shd w:val="clear" w:color="auto" w:fill="FFFFFF"/>
          <w:lang w:val="en-US"/>
        </w:rPr>
        <w:t>Compliance with ethical standards.</w:t>
      </w:r>
      <w:r>
        <w:rPr>
          <w:rFonts w:ascii="Times New Roman" w:hAnsi="Times New Roman"/>
          <w:b/>
          <w:color w:val="000000" w:themeColor="text1"/>
          <w:sz w:val="24"/>
          <w:szCs w:val="24"/>
          <w:shd w:val="clear" w:color="auto" w:fill="FFFFFF"/>
        </w:rPr>
        <w:t xml:space="preserve"> </w:t>
      </w:r>
    </w:p>
    <w:p>
      <w:pPr>
        <w:spacing w:after="0" w:line="360" w:lineRule="auto"/>
        <w:ind w:firstLine="567"/>
        <w:jc w:val="both"/>
        <w:rPr>
          <w:rFonts w:ascii="Times New Roman" w:eastAsia="Calibri" w:hAnsi="Times New Roman" w:cs="Times New Roman"/>
          <w:b/>
          <w:bCs/>
          <w:iCs/>
          <w:color w:val="000000"/>
          <w:sz w:val="24"/>
          <w:szCs w:val="24"/>
          <w:lang w:val="en-US" w:eastAsia="ru-RU"/>
        </w:rPr>
      </w:pPr>
      <w:r>
        <w:rPr>
          <w:rFonts w:ascii="Times New Roman" w:eastAsia="Calibri" w:hAnsi="Times New Roman" w:cs="Times New Roman"/>
          <w:color w:val="000000"/>
          <w:sz w:val="24"/>
          <w:szCs w:val="24"/>
          <w:lang w:val="en-US"/>
        </w:rPr>
        <w:lastRenderedPageBreak/>
        <w:t xml:space="preserve">The study was approved by the Local Ethics Committee of the I. I. Janelidze St. Petersburg Research Institute of SP Protocol No. 1 of </w:t>
      </w:r>
      <w:r>
        <w:rPr>
          <w:rFonts w:ascii="Times New Roman" w:hAnsi="Times New Roman"/>
          <w:color w:val="000000" w:themeColor="text1"/>
          <w:sz w:val="24"/>
          <w:szCs w:val="24"/>
          <w:lang w:val="en-US"/>
        </w:rPr>
        <w:t>12</w:t>
      </w:r>
      <w:r>
        <w:rPr>
          <w:rFonts w:ascii="Times New Roman" w:eastAsia="Calibri" w:hAnsi="Times New Roman" w:cs="Times New Roman"/>
          <w:color w:val="000000"/>
          <w:sz w:val="24"/>
          <w:szCs w:val="24"/>
          <w:lang w:val="en-US"/>
        </w:rPr>
        <w:t>.0</w:t>
      </w:r>
      <w:r>
        <w:rPr>
          <w:rFonts w:ascii="Times New Roman" w:hAnsi="Times New Roman"/>
          <w:color w:val="000000" w:themeColor="text1"/>
          <w:sz w:val="24"/>
          <w:szCs w:val="24"/>
          <w:lang w:val="en-US"/>
        </w:rPr>
        <w:t>2</w:t>
      </w:r>
      <w:r>
        <w:rPr>
          <w:rFonts w:ascii="Times New Roman" w:eastAsia="Calibri" w:hAnsi="Times New Roman" w:cs="Times New Roman"/>
          <w:color w:val="000000"/>
          <w:sz w:val="24"/>
          <w:szCs w:val="24"/>
          <w:lang w:val="en-US"/>
        </w:rPr>
        <w:t>.202</w:t>
      </w:r>
      <w:r>
        <w:rPr>
          <w:rFonts w:ascii="Times New Roman" w:hAnsi="Times New Roman"/>
          <w:color w:val="000000" w:themeColor="text1"/>
          <w:sz w:val="24"/>
          <w:szCs w:val="24"/>
          <w:lang w:val="en-US"/>
        </w:rPr>
        <w:t>1</w:t>
      </w:r>
      <w:r>
        <w:rPr>
          <w:rFonts w:ascii="Times New Roman" w:eastAsia="Calibri" w:hAnsi="Times New Roman" w:cs="Times New Roman"/>
          <w:color w:val="000000"/>
          <w:sz w:val="24"/>
          <w:szCs w:val="24"/>
          <w:lang w:val="en-US"/>
        </w:rPr>
        <w:t>.</w:t>
      </w:r>
    </w:p>
    <w:p>
      <w:pPr>
        <w:spacing w:after="0" w:line="360" w:lineRule="auto"/>
        <w:contextualSpacing/>
        <w:jc w:val="both"/>
        <w:rPr>
          <w:rFonts w:ascii="Times New Roman" w:hAnsi="Times New Roman"/>
          <w:b/>
          <w:sz w:val="24"/>
          <w:szCs w:val="24"/>
          <w:lang w:val="en-US"/>
        </w:rPr>
      </w:pPr>
      <w:r>
        <w:rPr>
          <w:rFonts w:ascii="Times New Roman" w:hAnsi="Times New Roman"/>
          <w:b/>
          <w:sz w:val="24"/>
          <w:szCs w:val="24"/>
          <w:lang w:val="en-US"/>
        </w:rPr>
        <w:t xml:space="preserve">         For correspondence: </w:t>
      </w:r>
      <w:r>
        <w:rPr>
          <w:rFonts w:ascii="Times New Roman" w:hAnsi="Times New Roman"/>
          <w:sz w:val="24"/>
          <w:szCs w:val="24"/>
          <w:lang w:val="en-US"/>
        </w:rPr>
        <w:t>Lodyagin Aleksei Nikolaevich, Doctor of Medical Sciences, Profe</w:t>
      </w:r>
      <w:r>
        <w:rPr>
          <w:rFonts w:ascii="Times New Roman" w:hAnsi="Times New Roman"/>
          <w:sz w:val="24"/>
          <w:szCs w:val="24"/>
          <w:lang w:val="en-US"/>
        </w:rPr>
        <w:t>s</w:t>
      </w:r>
      <w:r>
        <w:rPr>
          <w:rFonts w:ascii="Times New Roman" w:hAnsi="Times New Roman"/>
          <w:sz w:val="24"/>
          <w:szCs w:val="24"/>
          <w:lang w:val="en-US"/>
        </w:rPr>
        <w:t>sor, Head of the Department of Clinical Toxicology, St. Petersburg Research Institute of Emergency Medicine named after. I.I. Dzhanelidze, 192242, St. Petersburg.</w:t>
      </w:r>
      <w:r>
        <w:rPr>
          <w:rFonts w:ascii="Times New Roman" w:hAnsi="Times New Roman"/>
          <w:b/>
          <w:sz w:val="24"/>
          <w:szCs w:val="24"/>
          <w:lang w:val="en-US"/>
        </w:rPr>
        <w:t xml:space="preserve"> </w:t>
      </w:r>
      <w:r>
        <w:rPr>
          <w:rFonts w:ascii="Times New Roman" w:hAnsi="Times New Roman"/>
          <w:sz w:val="24"/>
          <w:szCs w:val="24"/>
          <w:lang w:val="en-US"/>
        </w:rPr>
        <w:t xml:space="preserve">E-mail: </w:t>
      </w:r>
      <w:hyperlink r:id="rId24" w:history="1">
        <w:r>
          <w:rPr>
            <w:rStyle w:val="ad"/>
            <w:rFonts w:ascii="Times New Roman" w:hAnsi="Times New Roman"/>
            <w:sz w:val="28"/>
            <w:szCs w:val="28"/>
            <w:lang w:val="en-US" w:eastAsia="ru-RU"/>
          </w:rPr>
          <w:t>andreysin2013@yandex.ru</w:t>
        </w:r>
      </w:hyperlink>
      <w:r>
        <w:rPr>
          <w:rFonts w:ascii="Times New Roman" w:hAnsi="Times New Roman"/>
          <w:color w:val="000000"/>
          <w:sz w:val="28"/>
          <w:szCs w:val="28"/>
          <w:lang w:val="en-US" w:eastAsia="ru-RU"/>
        </w:rPr>
        <w:t>.</w:t>
      </w:r>
    </w:p>
    <w:p>
      <w:pPr>
        <w:spacing w:after="0" w:line="360" w:lineRule="auto"/>
        <w:contextualSpacing/>
        <w:jc w:val="both"/>
        <w:rPr>
          <w:rFonts w:ascii="Times New Roman" w:hAnsi="Times New Roman"/>
          <w:sz w:val="24"/>
          <w:szCs w:val="24"/>
          <w:lang w:val="en-US"/>
        </w:rPr>
      </w:pPr>
      <w:r>
        <w:rPr>
          <w:rFonts w:ascii="Times New Roman" w:hAnsi="Times New Roman"/>
          <w:b/>
          <w:sz w:val="24"/>
          <w:szCs w:val="24"/>
          <w:lang w:val="en-US"/>
        </w:rPr>
        <w:t xml:space="preserve">         Information about </w:t>
      </w:r>
      <w:r>
        <w:rPr>
          <w:rFonts w:ascii="Times New Roman" w:hAnsi="Times New Roman"/>
          <w:b/>
          <w:bCs/>
          <w:sz w:val="24"/>
          <w:szCs w:val="24"/>
          <w:lang w:val="en-US"/>
        </w:rPr>
        <w:t>the</w:t>
      </w:r>
      <w:r>
        <w:rPr>
          <w:rFonts w:ascii="Times New Roman" w:hAnsi="Times New Roman"/>
          <w:b/>
          <w:sz w:val="24"/>
          <w:szCs w:val="24"/>
          <w:lang w:val="en-US"/>
        </w:rPr>
        <w:t xml:space="preserve"> authors</w:t>
      </w:r>
      <w:r>
        <w:rPr>
          <w:rFonts w:ascii="Times New Roman" w:hAnsi="Times New Roman"/>
          <w:sz w:val="24"/>
          <w:szCs w:val="24"/>
          <w:lang w:val="en-US"/>
        </w:rPr>
        <w:t xml:space="preserve">: </w:t>
      </w:r>
    </w:p>
    <w:p>
      <w:pPr>
        <w:widowControl w:val="0"/>
        <w:suppressAutoHyphens/>
        <w:spacing w:after="0" w:line="360" w:lineRule="auto"/>
        <w:jc w:val="both"/>
        <w:rPr>
          <w:lang w:val="en-US"/>
        </w:rPr>
      </w:pPr>
      <w:r>
        <w:rPr>
          <w:rFonts w:ascii="Times New Roman" w:hAnsi="Times New Roman"/>
          <w:color w:val="222222"/>
          <w:sz w:val="24"/>
          <w:szCs w:val="24"/>
          <w:lang w:val="en-US"/>
        </w:rPr>
        <w:t xml:space="preserve">         Lodyagin A.N.:</w:t>
      </w:r>
      <w:r>
        <w:rPr>
          <w:lang w:val="en-US"/>
        </w:rPr>
        <w:t xml:space="preserve"> </w:t>
      </w:r>
      <w:hyperlink r:id="rId25" w:history="1">
        <w:r>
          <w:rPr>
            <w:rStyle w:val="ad"/>
            <w:rFonts w:ascii="Times New Roman" w:hAnsi="Times New Roman"/>
            <w:sz w:val="28"/>
            <w:szCs w:val="28"/>
            <w:shd w:val="clear" w:color="auto" w:fill="F9F9F9"/>
            <w:lang w:val="en-US"/>
          </w:rPr>
          <w:t>https://orcid.org/</w:t>
        </w:r>
        <w:r>
          <w:rPr>
            <w:rStyle w:val="ad"/>
            <w:rFonts w:ascii="Times New Roman" w:hAnsi="Times New Roman"/>
            <w:sz w:val="28"/>
            <w:szCs w:val="28"/>
            <w:lang w:val="en-US"/>
          </w:rPr>
          <w:t>0000-0002-8672-2906</w:t>
        </w:r>
        <w:r>
          <w:rPr>
            <w:rStyle w:val="ad"/>
            <w:sz w:val="28"/>
            <w:szCs w:val="28"/>
            <w:lang w:val="en-US"/>
          </w:rPr>
          <w:t xml:space="preserve">  </w:t>
        </w:r>
        <w:r>
          <w:rPr>
            <w:rStyle w:val="ad"/>
            <w:rFonts w:ascii="Times New Roman" w:hAnsi="Times New Roman"/>
            <w:sz w:val="28"/>
            <w:szCs w:val="28"/>
            <w:lang w:val="en-US"/>
          </w:rPr>
          <w:t>ID6507598514</w:t>
        </w:r>
      </w:hyperlink>
    </w:p>
    <w:p>
      <w:pPr>
        <w:widowControl w:val="0"/>
        <w:suppressAutoHyphens/>
        <w:spacing w:after="0" w:line="360" w:lineRule="auto"/>
        <w:jc w:val="both"/>
        <w:rPr>
          <w:rFonts w:ascii="Times New Roman" w:hAnsi="Times New Roman"/>
          <w:color w:val="222222"/>
          <w:sz w:val="24"/>
          <w:szCs w:val="24"/>
          <w:lang w:val="en-US"/>
        </w:rPr>
      </w:pPr>
      <w:r>
        <w:rPr>
          <w:rFonts w:ascii="Times New Roman" w:hAnsi="Times New Roman"/>
          <w:color w:val="222222"/>
          <w:sz w:val="24"/>
          <w:szCs w:val="24"/>
          <w:lang w:val="en-US"/>
        </w:rPr>
        <w:t xml:space="preserve">         Sinenchenko A.G.:</w:t>
      </w:r>
      <w:r>
        <w:rPr>
          <w:lang w:val="en-US"/>
        </w:rPr>
        <w:t xml:space="preserve"> </w:t>
      </w:r>
      <w:hyperlink r:id="rId26" w:history="1">
        <w:r>
          <w:rPr>
            <w:rStyle w:val="ad"/>
            <w:rFonts w:ascii="Times New Roman" w:hAnsi="Times New Roman"/>
            <w:sz w:val="28"/>
            <w:szCs w:val="28"/>
            <w:shd w:val="clear" w:color="auto" w:fill="F9F9F9"/>
            <w:lang w:val="en-US"/>
          </w:rPr>
          <w:t>https://orcid.org/</w:t>
        </w:r>
        <w:r>
          <w:rPr>
            <w:rStyle w:val="ad"/>
            <w:rFonts w:ascii="Times New Roman" w:hAnsi="Times New Roman"/>
            <w:sz w:val="28"/>
            <w:szCs w:val="28"/>
            <w:lang w:val="en-US"/>
          </w:rPr>
          <w:t>0000-0003-2815-3108 ID57215990021</w:t>
        </w:r>
      </w:hyperlink>
    </w:p>
    <w:p>
      <w:pPr>
        <w:widowControl w:val="0"/>
        <w:suppressAutoHyphens/>
        <w:spacing w:after="0" w:line="360" w:lineRule="auto"/>
        <w:jc w:val="both"/>
        <w:rPr>
          <w:rFonts w:ascii="Times New Roman" w:hAnsi="Times New Roman"/>
          <w:color w:val="222222"/>
          <w:sz w:val="24"/>
          <w:szCs w:val="24"/>
          <w:lang w:val="en-US"/>
        </w:rPr>
      </w:pPr>
      <w:r>
        <w:rPr>
          <w:rFonts w:ascii="Times New Roman" w:hAnsi="Times New Roman"/>
          <w:color w:val="222222"/>
          <w:sz w:val="24"/>
          <w:szCs w:val="24"/>
          <w:lang w:val="en-US"/>
        </w:rPr>
        <w:t xml:space="preserve">         Batotsyrenov B.V.:</w:t>
      </w:r>
      <w:r>
        <w:rPr>
          <w:lang w:val="en-US"/>
        </w:rPr>
        <w:t xml:space="preserve"> </w:t>
      </w:r>
      <w:hyperlink r:id="rId27" w:history="1">
        <w:r>
          <w:rPr>
            <w:rStyle w:val="ad"/>
            <w:rFonts w:ascii="Times New Roman" w:hAnsi="Times New Roman"/>
            <w:sz w:val="28"/>
            <w:szCs w:val="28"/>
            <w:shd w:val="clear" w:color="auto" w:fill="F9F9F9"/>
            <w:lang w:val="en-US"/>
          </w:rPr>
          <w:t>https://orcid.org/</w:t>
        </w:r>
        <w:r>
          <w:rPr>
            <w:rStyle w:val="ad"/>
            <w:rFonts w:ascii="Times New Roman" w:hAnsi="Times New Roman"/>
            <w:sz w:val="28"/>
            <w:szCs w:val="28"/>
            <w:shd w:val="clear" w:color="auto" w:fill="FFFFFF"/>
            <w:lang w:val="en-US"/>
          </w:rPr>
          <w:t>0000-0003-4954-8977</w:t>
        </w:r>
      </w:hyperlink>
    </w:p>
    <w:p>
      <w:pPr>
        <w:widowControl w:val="0"/>
        <w:suppressAutoHyphens/>
        <w:spacing w:after="0" w:line="360" w:lineRule="auto"/>
        <w:ind w:left="567"/>
        <w:jc w:val="both"/>
        <w:rPr>
          <w:rFonts w:ascii="Times New Roman" w:hAnsi="Times New Roman"/>
          <w:sz w:val="28"/>
          <w:szCs w:val="28"/>
          <w:lang w:val="en-US"/>
        </w:rPr>
      </w:pPr>
      <w:r>
        <w:rPr>
          <w:rFonts w:ascii="Times New Roman" w:hAnsi="Times New Roman"/>
          <w:color w:val="222222"/>
          <w:sz w:val="24"/>
          <w:szCs w:val="24"/>
          <w:lang w:val="en-US"/>
        </w:rPr>
        <w:t>Sinenchenko G.I.:</w:t>
      </w:r>
      <w:r>
        <w:rPr>
          <w:lang w:val="en-US"/>
        </w:rPr>
        <w:t xml:space="preserve"> </w:t>
      </w:r>
      <w:hyperlink r:id="rId28" w:history="1">
        <w:r>
          <w:rPr>
            <w:rStyle w:val="ad"/>
            <w:rFonts w:ascii="Times New Roman" w:hAnsi="Times New Roman"/>
            <w:sz w:val="28"/>
            <w:szCs w:val="28"/>
            <w:shd w:val="clear" w:color="auto" w:fill="F9F9F9"/>
            <w:lang w:val="en-US"/>
          </w:rPr>
          <w:t>https://orcid.org/</w:t>
        </w:r>
        <w:r>
          <w:rPr>
            <w:rStyle w:val="ad"/>
            <w:rFonts w:ascii="Times New Roman" w:hAnsi="Times New Roman"/>
            <w:sz w:val="28"/>
            <w:szCs w:val="28"/>
            <w:lang w:val="en-US"/>
          </w:rPr>
          <w:t>0000-0001-5659-781</w:t>
        </w:r>
        <w:r>
          <w:rPr>
            <w:rStyle w:val="ad"/>
            <w:rFonts w:ascii="Times New Roman" w:hAnsi="Times New Roman"/>
            <w:sz w:val="28"/>
            <w:szCs w:val="28"/>
          </w:rPr>
          <w:t>Х</w:t>
        </w:r>
      </w:hyperlink>
    </w:p>
    <w:p>
      <w:pPr>
        <w:suppressAutoHyphens/>
        <w:spacing w:after="0" w:line="360" w:lineRule="auto"/>
        <w:ind w:firstLine="567"/>
        <w:jc w:val="both"/>
        <w:rPr>
          <w:rFonts w:ascii="Times New Roman" w:hAnsi="Times New Roman" w:cs="Times New Roman"/>
          <w:bCs/>
          <w:sz w:val="24"/>
          <w:szCs w:val="24"/>
          <w:lang w:val="en-US"/>
        </w:rPr>
      </w:pPr>
      <w:r>
        <w:rPr>
          <w:rFonts w:ascii="Times New Roman" w:hAnsi="Times New Roman" w:cs="Times New Roman"/>
          <w:b/>
          <w:bCs/>
          <w:sz w:val="24"/>
          <w:szCs w:val="24"/>
          <w:lang w:val="en-US"/>
        </w:rPr>
        <w:t>Conflict of interest.</w:t>
      </w:r>
      <w:r>
        <w:rPr>
          <w:rFonts w:ascii="Times New Roman" w:hAnsi="Times New Roman" w:cs="Times New Roman"/>
          <w:bCs/>
          <w:sz w:val="24"/>
          <w:szCs w:val="24"/>
          <w:lang w:val="en-US"/>
        </w:rPr>
        <w:t xml:space="preserve"> The authors acknowledge that there are no known conflicts of interest related to this publication.</w:t>
      </w:r>
    </w:p>
    <w:p>
      <w:pPr>
        <w:spacing w:after="0" w:line="360" w:lineRule="auto"/>
        <w:ind w:right="-1" w:firstLine="567"/>
        <w:jc w:val="both"/>
        <w:rPr>
          <w:rFonts w:ascii="Times New Roman" w:hAnsi="Times New Roman" w:cs="Times New Roman"/>
          <w:b/>
          <w:bCs/>
          <w:sz w:val="24"/>
          <w:szCs w:val="24"/>
          <w:lang w:val="en-US"/>
        </w:rPr>
      </w:pPr>
      <w:r>
        <w:rPr>
          <w:rFonts w:ascii="Times New Roman" w:hAnsi="Times New Roman" w:cs="Times New Roman"/>
          <w:b/>
          <w:bCs/>
          <w:color w:val="242021"/>
          <w:sz w:val="24"/>
          <w:szCs w:val="24"/>
          <w:lang w:val="en-US"/>
        </w:rPr>
        <w:t>Acknowledgments</w:t>
      </w:r>
      <w:r>
        <w:rPr>
          <w:rFonts w:ascii="Times New Roman" w:hAnsi="Times New Roman" w:cs="Times New Roman"/>
          <w:sz w:val="24"/>
          <w:szCs w:val="24"/>
          <w:lang w:val="en-US"/>
        </w:rPr>
        <w:t>. The study was not sponsored.</w:t>
      </w:r>
    </w:p>
    <w:p>
      <w:pPr>
        <w:spacing w:after="0" w:line="360" w:lineRule="auto"/>
        <w:ind w:right="-1" w:firstLine="567"/>
        <w:jc w:val="both"/>
        <w:rPr>
          <w:rFonts w:ascii="Times New Roman" w:hAnsi="Times New Roman"/>
          <w:b/>
          <w:bCs/>
          <w:sz w:val="24"/>
          <w:szCs w:val="24"/>
          <w:lang w:val="en-US"/>
        </w:rPr>
      </w:pPr>
      <w:r>
        <w:rPr>
          <w:rFonts w:ascii="Times New Roman" w:hAnsi="Times New Roman"/>
          <w:b/>
          <w:bCs/>
          <w:sz w:val="24"/>
          <w:szCs w:val="24"/>
          <w:lang w:val="en-US"/>
        </w:rPr>
        <w:t xml:space="preserve">Author contribution: </w:t>
      </w:r>
    </w:p>
    <w:p>
      <w:pPr>
        <w:spacing w:after="0" w:line="360" w:lineRule="auto"/>
        <w:ind w:right="-1" w:firstLine="567"/>
        <w:jc w:val="both"/>
        <w:rPr>
          <w:rFonts w:ascii="Times New Roman" w:hAnsi="Times New Roman"/>
          <w:sz w:val="24"/>
          <w:szCs w:val="24"/>
          <w:lang w:val="en-US"/>
        </w:rPr>
      </w:pPr>
      <w:r>
        <w:rPr>
          <w:rFonts w:ascii="Times New Roman" w:hAnsi="Times New Roman"/>
          <w:color w:val="222222"/>
          <w:sz w:val="24"/>
          <w:szCs w:val="24"/>
          <w:lang w:val="en-US"/>
        </w:rPr>
        <w:t xml:space="preserve">Lodyagin A.N. </w:t>
      </w:r>
      <w:r>
        <w:rPr>
          <w:rFonts w:ascii="Times New Roman" w:hAnsi="Times New Roman"/>
          <w:sz w:val="24"/>
          <w:szCs w:val="24"/>
          <w:lang w:val="en-US"/>
        </w:rPr>
        <w:t>- concept and design of the study, collection and processing of material, stati</w:t>
      </w:r>
      <w:r>
        <w:rPr>
          <w:rFonts w:ascii="Times New Roman" w:hAnsi="Times New Roman"/>
          <w:sz w:val="24"/>
          <w:szCs w:val="24"/>
          <w:lang w:val="en-US"/>
        </w:rPr>
        <w:t>s</w:t>
      </w:r>
      <w:r>
        <w:rPr>
          <w:rFonts w:ascii="Times New Roman" w:hAnsi="Times New Roman"/>
          <w:sz w:val="24"/>
          <w:szCs w:val="24"/>
          <w:lang w:val="en-US"/>
        </w:rPr>
        <w:t>tical processing, writing the text, editing;</w:t>
      </w:r>
      <w:r>
        <w:rPr>
          <w:rFonts w:ascii="Times New Roman" w:hAnsi="Times New Roman"/>
          <w:color w:val="FF0000"/>
          <w:sz w:val="24"/>
          <w:szCs w:val="24"/>
          <w:lang w:val="en-US"/>
        </w:rPr>
        <w:t xml:space="preserve"> </w:t>
      </w:r>
    </w:p>
    <w:p>
      <w:pPr>
        <w:spacing w:after="0" w:line="360" w:lineRule="auto"/>
        <w:jc w:val="both"/>
        <w:rPr>
          <w:rFonts w:ascii="Times New Roman" w:hAnsi="Times New Roman"/>
          <w:sz w:val="24"/>
          <w:szCs w:val="24"/>
          <w:lang w:val="en-US"/>
        </w:rPr>
      </w:pPr>
      <w:r>
        <w:rPr>
          <w:rFonts w:ascii="Times New Roman" w:hAnsi="Times New Roman"/>
          <w:color w:val="222222"/>
          <w:sz w:val="24"/>
          <w:szCs w:val="24"/>
          <w:lang w:val="en-US"/>
        </w:rPr>
        <w:t xml:space="preserve">         Sinenchenko A.G.</w:t>
      </w:r>
      <w:r>
        <w:rPr>
          <w:lang w:val="en-US"/>
        </w:rPr>
        <w:t xml:space="preserve"> </w:t>
      </w:r>
      <w:r>
        <w:rPr>
          <w:rFonts w:ascii="Times New Roman" w:hAnsi="Times New Roman"/>
          <w:bCs/>
          <w:sz w:val="24"/>
          <w:szCs w:val="24"/>
          <w:lang w:val="en-US"/>
        </w:rPr>
        <w:t>- collection and processing of material, statistical processing, writing</w:t>
      </w:r>
      <w:r>
        <w:rPr>
          <w:rFonts w:ascii="Times New Roman" w:hAnsi="Times New Roman"/>
          <w:sz w:val="24"/>
          <w:szCs w:val="24"/>
          <w:lang w:val="en-US"/>
        </w:rPr>
        <w:t xml:space="preserve"> the</w:t>
      </w:r>
      <w:r>
        <w:rPr>
          <w:rFonts w:ascii="Times New Roman" w:hAnsi="Times New Roman"/>
          <w:bCs/>
          <w:sz w:val="24"/>
          <w:szCs w:val="24"/>
          <w:lang w:val="en-US"/>
        </w:rPr>
        <w:t xml:space="preserve"> text;  </w:t>
      </w:r>
    </w:p>
    <w:p>
      <w:pPr>
        <w:spacing w:after="0" w:line="360" w:lineRule="auto"/>
        <w:ind w:right="-1"/>
        <w:jc w:val="both"/>
        <w:rPr>
          <w:rFonts w:ascii="Times New Roman" w:hAnsi="Times New Roman"/>
          <w:sz w:val="24"/>
          <w:szCs w:val="24"/>
          <w:lang w:val="en-US"/>
        </w:rPr>
      </w:pPr>
      <w:r>
        <w:rPr>
          <w:rFonts w:ascii="Times New Roman" w:hAnsi="Times New Roman"/>
          <w:color w:val="222222"/>
          <w:sz w:val="24"/>
          <w:szCs w:val="24"/>
          <w:lang w:val="en-US"/>
        </w:rPr>
        <w:t xml:space="preserve">         Batotsyrenov B.V. </w:t>
      </w:r>
      <w:r>
        <w:rPr>
          <w:rFonts w:ascii="Times New Roman" w:hAnsi="Times New Roman"/>
          <w:sz w:val="24"/>
          <w:szCs w:val="24"/>
          <w:lang w:val="en-US"/>
        </w:rPr>
        <w:t xml:space="preserve">- concept and design of the study, editing; </w:t>
      </w:r>
    </w:p>
    <w:p>
      <w:pPr>
        <w:spacing w:after="0" w:line="360" w:lineRule="auto"/>
        <w:ind w:right="-1"/>
        <w:jc w:val="both"/>
        <w:rPr>
          <w:rFonts w:ascii="Times New Roman" w:hAnsi="Times New Roman"/>
          <w:sz w:val="24"/>
          <w:szCs w:val="24"/>
          <w:lang w:val="en-US"/>
        </w:rPr>
      </w:pPr>
      <w:r>
        <w:rPr>
          <w:rFonts w:ascii="Times New Roman" w:hAnsi="Times New Roman"/>
          <w:color w:val="222222"/>
          <w:sz w:val="24"/>
          <w:szCs w:val="24"/>
          <w:lang w:val="en-US"/>
        </w:rPr>
        <w:t xml:space="preserve">         Sinenchenko G.I. </w:t>
      </w:r>
      <w:r>
        <w:rPr>
          <w:rFonts w:ascii="Times New Roman" w:hAnsi="Times New Roman"/>
          <w:sz w:val="24"/>
          <w:szCs w:val="24"/>
          <w:lang w:val="en-US"/>
        </w:rPr>
        <w:t xml:space="preserve"> - concept and design of the study, writing the text; </w:t>
      </w:r>
    </w:p>
    <w:p>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sz w:val="24"/>
          <w:szCs w:val="24"/>
          <w:lang w:val="en-US"/>
        </w:rPr>
        <w:t>All authors are responsible for the integrity of all parts of the manuscript and approval of the manuscript final version.</w:t>
      </w:r>
      <w:r>
        <w:rPr>
          <w:rFonts w:ascii="Times New Roman" w:hAnsi="Times New Roman"/>
          <w:sz w:val="24"/>
          <w:szCs w:val="24"/>
          <w:lang w:val="en-US"/>
        </w:rPr>
        <w:t xml:space="preserve"> </w:t>
      </w:r>
    </w:p>
    <w:p>
      <w:pPr>
        <w:shd w:val="clear" w:color="auto" w:fill="FFFFFF"/>
        <w:spacing w:after="0" w:line="360" w:lineRule="auto"/>
        <w:rPr>
          <w:rFonts w:ascii="Times New Roman" w:hAnsi="Times New Roman"/>
          <w:sz w:val="24"/>
          <w:szCs w:val="24"/>
        </w:rPr>
      </w:pPr>
      <w:r>
        <w:rPr>
          <w:rFonts w:ascii="Times New Roman" w:hAnsi="Times New Roman"/>
          <w:sz w:val="24"/>
          <w:szCs w:val="24"/>
          <w:lang w:val="en-US"/>
        </w:rPr>
        <w:t>Received</w:t>
      </w:r>
      <w:r>
        <w:rPr>
          <w:rFonts w:ascii="Times New Roman" w:hAnsi="Times New Roman"/>
          <w:sz w:val="24"/>
          <w:szCs w:val="24"/>
        </w:rPr>
        <w:t xml:space="preserve">: </w:t>
      </w:r>
    </w:p>
    <w:p>
      <w:pPr>
        <w:shd w:val="clear" w:color="auto" w:fill="FFFFFF"/>
        <w:spacing w:after="0" w:line="360" w:lineRule="auto"/>
        <w:rPr>
          <w:rFonts w:ascii="Times New Roman" w:hAnsi="Times New Roman"/>
          <w:sz w:val="24"/>
          <w:szCs w:val="24"/>
        </w:rPr>
      </w:pPr>
      <w:r>
        <w:rPr>
          <w:rFonts w:ascii="Times New Roman" w:hAnsi="Times New Roman"/>
          <w:sz w:val="24"/>
          <w:szCs w:val="24"/>
          <w:lang w:val="en-US"/>
        </w:rPr>
        <w:t>Accepted</w:t>
      </w:r>
      <w:r>
        <w:rPr>
          <w:rFonts w:ascii="Times New Roman" w:hAnsi="Times New Roman"/>
          <w:sz w:val="24"/>
          <w:szCs w:val="24"/>
        </w:rPr>
        <w:t xml:space="preserve">: </w:t>
      </w:r>
    </w:p>
    <w:p>
      <w:pPr>
        <w:suppressAutoHyphens/>
        <w:spacing w:after="0" w:line="360" w:lineRule="auto"/>
        <w:ind w:firstLine="567"/>
        <w:jc w:val="both"/>
        <w:rPr>
          <w:rFonts w:ascii="Times New Roman" w:eastAsia="TimesNewRomanPSMT" w:hAnsi="Times New Roman" w:cs="Times New Roman"/>
          <w:color w:val="000000" w:themeColor="text1"/>
          <w:sz w:val="24"/>
          <w:szCs w:val="24"/>
          <w:lang w:val="en-US"/>
        </w:rPr>
      </w:pPr>
    </w:p>
    <w:sectPr>
      <w:footerReference w:type="default" r:id="rId29"/>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3" w:usb1="080F0000" w:usb2="00000010" w:usb3="00000000" w:csb0="0012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MS Mincho"/>
    <w:charset w:val="80"/>
    <w:family w:val="auto"/>
    <w:pitch w:val="default"/>
    <w:sig w:usb0="00000000" w:usb1="08070000" w:usb2="00000010" w:usb3="00000000" w:csb0="00020004" w:csb1="00000000"/>
  </w:font>
  <w:font w:name="Newton-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b"/>
      <w:jc w:val="center"/>
    </w:pPr>
  </w:p>
  <w:p>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88A"/>
    <w:multiLevelType w:val="hybridMultilevel"/>
    <w:tmpl w:val="8B5840EE"/>
    <w:lvl w:ilvl="0" w:tplc="6CF2D798">
      <w:start w:val="1"/>
      <w:numFmt w:val="upperLetter"/>
      <w:lvlText w:val="%1."/>
      <w:lvlJc w:val="left"/>
      <w:pPr>
        <w:ind w:left="927" w:hanging="360"/>
      </w:pPr>
      <w:rPr>
        <w:rFonts w:ascii="Times New Roman" w:hAnsi="Times New Roman"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3D222D"/>
    <w:multiLevelType w:val="hybridMultilevel"/>
    <w:tmpl w:val="F216CE6E"/>
    <w:lvl w:ilvl="0" w:tplc="C8B0B0D2">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1301792"/>
    <w:multiLevelType w:val="hybridMultilevel"/>
    <w:tmpl w:val="C3BED8E0"/>
    <w:lvl w:ilvl="0" w:tplc="3A52B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C5231"/>
    <w:multiLevelType w:val="hybridMultilevel"/>
    <w:tmpl w:val="E2B603D6"/>
    <w:lvl w:ilvl="0" w:tplc="2D1A9C90">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816B8"/>
    <w:multiLevelType w:val="hybridMultilevel"/>
    <w:tmpl w:val="4D84451E"/>
    <w:lvl w:ilvl="0" w:tplc="D3504D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A90640"/>
    <w:multiLevelType w:val="multilevel"/>
    <w:tmpl w:val="EB4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D34CF"/>
    <w:multiLevelType w:val="hybridMultilevel"/>
    <w:tmpl w:val="9BE62BEE"/>
    <w:lvl w:ilvl="0" w:tplc="69A07D12">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20E74E2"/>
    <w:multiLevelType w:val="multilevel"/>
    <w:tmpl w:val="C0C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15577"/>
    <w:multiLevelType w:val="hybridMultilevel"/>
    <w:tmpl w:val="EC8C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880134"/>
    <w:multiLevelType w:val="hybridMultilevel"/>
    <w:tmpl w:val="5A863B66"/>
    <w:lvl w:ilvl="0" w:tplc="31D05422">
      <w:start w:val="1"/>
      <w:numFmt w:val="decimal"/>
      <w:lvlText w:val="%1)"/>
      <w:lvlJc w:val="left"/>
      <w:pPr>
        <w:tabs>
          <w:tab w:val="num" w:pos="851"/>
        </w:tabs>
        <w:ind w:firstLine="170"/>
      </w:pPr>
      <w:rPr>
        <w:rFonts w:ascii="Times New Roman" w:eastAsia="TimesNewRomanPSMT" w:hAnsi="Times New Roman" w:cs="Times New Roman"/>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EC42F4A"/>
    <w:multiLevelType w:val="multilevel"/>
    <w:tmpl w:val="E04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7"/>
  </w:num>
  <w:num w:numId="4">
    <w:abstractNumId w:val="1"/>
  </w:num>
  <w:num w:numId="5">
    <w:abstractNumId w:val="4"/>
  </w:num>
  <w:num w:numId="6">
    <w:abstractNumId w:val="2"/>
  </w:num>
  <w:num w:numId="7">
    <w:abstractNumId w:val="9"/>
  </w:num>
  <w:num w:numId="8">
    <w:abstractNumId w:val="3"/>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autoHyphenation/>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styleId="a3">
    <w:name w:val="Emphasis"/>
    <w:basedOn w:val="a0"/>
    <w:uiPriority w:val="20"/>
    <w:qFormat/>
    <w:rPr>
      <w:i/>
      <w:iCs/>
    </w:rPr>
  </w:style>
  <w:style w:type="paragraph" w:styleId="a4">
    <w:name w:val="No Spacing"/>
    <w:uiPriority w:val="1"/>
    <w:qFormat/>
    <w:pPr>
      <w:spacing w:after="0" w:line="240" w:lineRule="auto"/>
    </w:pPr>
  </w:style>
  <w:style w:type="character" w:customStyle="1" w:styleId="tlid-translationtranslation">
    <w:name w:val="tlid-translation translation"/>
    <w:basedOn w:val="a0"/>
  </w:style>
  <w:style w:type="character" w:styleId="a5">
    <w:name w:val="Strong"/>
    <w:basedOn w:val="a0"/>
    <w:uiPriority w:val="22"/>
    <w:qFormat/>
    <w:rPr>
      <w:b/>
      <w:bCs/>
    </w:rPr>
  </w:style>
  <w:style w:type="paragraph" w:customStyle="1" w:styleId="a6">
    <w:name w:val="Таб. название"/>
    <w:basedOn w:val="a"/>
    <w:pPr>
      <w:keepNext/>
      <w:suppressAutoHyphens/>
      <w:spacing w:after="240" w:line="240" w:lineRule="auto"/>
      <w:jc w:val="center"/>
    </w:pPr>
    <w:rPr>
      <w:rFonts w:ascii="Times New Roman" w:eastAsia="Times New Roman" w:hAnsi="Times New Roman" w:cs="Times New Roman"/>
      <w:b/>
      <w:i/>
      <w:sz w:val="28"/>
      <w:szCs w:val="20"/>
      <w:lang w:eastAsia="ru-RU"/>
    </w:rPr>
  </w:style>
  <w:style w:type="paragraph" w:styleId="a7">
    <w:name w:val="Body Text"/>
    <w:basedOn w:val="a"/>
    <w:link w:val="a8"/>
    <w:pPr>
      <w:widowControl w:val="0"/>
      <w:spacing w:after="0" w:line="360" w:lineRule="auto"/>
    </w:pPr>
    <w:rPr>
      <w:rFonts w:ascii="Times New Roman" w:eastAsia="Times New Roman" w:hAnsi="Times New Roman" w:cs="Times New Roman"/>
      <w:snapToGrid w:val="0"/>
      <w:sz w:val="28"/>
      <w:szCs w:val="20"/>
      <w:lang w:eastAsia="ru-RU"/>
    </w:rPr>
  </w:style>
  <w:style w:type="character" w:customStyle="1" w:styleId="a8">
    <w:name w:val="Основной текст Знак"/>
    <w:basedOn w:val="a0"/>
    <w:link w:val="a7"/>
    <w:rPr>
      <w:rFonts w:ascii="Times New Roman" w:eastAsia="Times New Roman" w:hAnsi="Times New Roman" w:cs="Times New Roman"/>
      <w:snapToGrid w:val="0"/>
      <w:sz w:val="28"/>
      <w:szCs w:val="20"/>
      <w:lang w:eastAsia="ru-RU"/>
    </w:rPr>
  </w:style>
  <w:style w:type="paragraph" w:customStyle="1" w:styleId="21">
    <w:name w:val="Основной текст с отступом 21"/>
    <w:basedOn w:val="a"/>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styleId="a9">
    <w:name w:val="header"/>
    <w:basedOn w:val="a"/>
    <w:link w:val="aa"/>
    <w:uiPriority w:val="99"/>
    <w:semiHidden/>
    <w:unhideWhenUs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 w:type="character" w:styleId="ad">
    <w:name w:val="Hyperlink"/>
    <w:basedOn w:val="a0"/>
    <w:uiPriority w:val="99"/>
    <w:unhideWhenUsed/>
    <w:rPr>
      <w:color w:val="0000FF"/>
      <w:u w:val="single"/>
    </w:rPr>
  </w:style>
  <w:style w:type="paragraph" w:styleId="22">
    <w:name w:val="Body Text Indent 2"/>
    <w:basedOn w:val="a"/>
    <w:link w:val="23"/>
    <w:uiPriority w:val="99"/>
    <w:unhideWhenUsed/>
    <w:pPr>
      <w:spacing w:after="120" w:line="480" w:lineRule="auto"/>
      <w:ind w:left="283"/>
    </w:pPr>
  </w:style>
  <w:style w:type="character" w:customStyle="1" w:styleId="23">
    <w:name w:val="Основной текст с отступом 2 Знак"/>
    <w:basedOn w:val="a0"/>
    <w:link w:val="22"/>
    <w:uiPriority w:val="99"/>
  </w:style>
  <w:style w:type="character" w:styleId="ae">
    <w:name w:val="Placeholder Text"/>
    <w:basedOn w:val="a0"/>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pPr>
      <w:ind w:left="720"/>
      <w:contextualSpacing/>
    </w:pPr>
  </w:style>
  <w:style w:type="paragraph" w:customStyle="1" w:styleId="bigtext">
    <w:name w:val="big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1">
    <w:name w:val="help1"/>
    <w:basedOn w:val="a0"/>
  </w:style>
  <w:style w:type="character" w:customStyle="1" w:styleId="help">
    <w:name w:val="help"/>
    <w:basedOn w:val="a0"/>
  </w:style>
  <w:style w:type="character" w:customStyle="1" w:styleId="astmd">
    <w:name w:val="astmd"/>
    <w:basedOn w:val="a0"/>
  </w:style>
  <w:style w:type="table" w:styleId="af0">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style>
  <w:style w:type="paragraph" w:customStyle="1" w:styleId="af1">
    <w:basedOn w:val="a"/>
    <w:next w:val="af2"/>
    <w:uiPriority w:val="99"/>
    <w:pPr>
      <w:spacing w:before="100" w:beforeAutospacing="1" w:after="100" w:afterAutospacing="1" w:line="240" w:lineRule="auto"/>
      <w:ind w:hanging="357"/>
      <w:jc w:val="both"/>
    </w:pPr>
    <w:rPr>
      <w:rFonts w:ascii="Times New Roman" w:eastAsia="Times New Roman" w:hAnsi="Times New Roman" w:cs="Times New Roman"/>
      <w:sz w:val="24"/>
      <w:szCs w:val="24"/>
      <w:lang w:eastAsia="ru-RU"/>
    </w:rPr>
  </w:style>
  <w:style w:type="paragraph" w:styleId="af2">
    <w:name w:val="Normal (Web)"/>
    <w:basedOn w:val="a"/>
    <w:uiPriority w:val="99"/>
    <w:semiHidden/>
    <w:unhideWhenUsed/>
    <w:rPr>
      <w:rFonts w:ascii="Times New Roman" w:hAnsi="Times New Roman" w:cs="Times New Roman"/>
      <w:sz w:val="24"/>
      <w:szCs w:val="24"/>
    </w:rPr>
  </w:style>
  <w:style w:type="paragraph" w:styleId="af3">
    <w:name w:val="Balloon Text"/>
    <w:basedOn w:val="a"/>
    <w:link w:val="af4"/>
    <w:uiPriority w:val="99"/>
    <w:semiHidden/>
    <w:unhideWhenUse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9536">
      <w:bodyDiv w:val="1"/>
      <w:marLeft w:val="0"/>
      <w:marRight w:val="0"/>
      <w:marTop w:val="0"/>
      <w:marBottom w:val="0"/>
      <w:divBdr>
        <w:top w:val="none" w:sz="0" w:space="0" w:color="auto"/>
        <w:left w:val="none" w:sz="0" w:space="0" w:color="auto"/>
        <w:bottom w:val="none" w:sz="0" w:space="0" w:color="auto"/>
        <w:right w:val="none" w:sz="0" w:space="0" w:color="auto"/>
      </w:divBdr>
    </w:div>
    <w:div w:id="34740118">
      <w:bodyDiv w:val="1"/>
      <w:marLeft w:val="0"/>
      <w:marRight w:val="0"/>
      <w:marTop w:val="0"/>
      <w:marBottom w:val="0"/>
      <w:divBdr>
        <w:top w:val="none" w:sz="0" w:space="0" w:color="auto"/>
        <w:left w:val="none" w:sz="0" w:space="0" w:color="auto"/>
        <w:bottom w:val="none" w:sz="0" w:space="0" w:color="auto"/>
        <w:right w:val="none" w:sz="0" w:space="0" w:color="auto"/>
      </w:divBdr>
      <w:divsChild>
        <w:div w:id="1901331206">
          <w:marLeft w:val="0"/>
          <w:marRight w:val="0"/>
          <w:marTop w:val="0"/>
          <w:marBottom w:val="0"/>
          <w:divBdr>
            <w:top w:val="none" w:sz="0" w:space="0" w:color="auto"/>
            <w:left w:val="none" w:sz="0" w:space="0" w:color="auto"/>
            <w:bottom w:val="none" w:sz="0" w:space="0" w:color="auto"/>
            <w:right w:val="none" w:sz="0" w:space="0" w:color="auto"/>
          </w:divBdr>
          <w:divsChild>
            <w:div w:id="2058116451">
              <w:marLeft w:val="0"/>
              <w:marRight w:val="0"/>
              <w:marTop w:val="0"/>
              <w:marBottom w:val="0"/>
              <w:divBdr>
                <w:top w:val="none" w:sz="0" w:space="0" w:color="auto"/>
                <w:left w:val="none" w:sz="0" w:space="0" w:color="auto"/>
                <w:bottom w:val="none" w:sz="0" w:space="0" w:color="auto"/>
                <w:right w:val="none" w:sz="0" w:space="0" w:color="auto"/>
              </w:divBdr>
            </w:div>
            <w:div w:id="1139151867">
              <w:marLeft w:val="0"/>
              <w:marRight w:val="0"/>
              <w:marTop w:val="0"/>
              <w:marBottom w:val="0"/>
              <w:divBdr>
                <w:top w:val="none" w:sz="0" w:space="0" w:color="auto"/>
                <w:left w:val="none" w:sz="0" w:space="0" w:color="auto"/>
                <w:bottom w:val="none" w:sz="0" w:space="0" w:color="auto"/>
                <w:right w:val="none" w:sz="0" w:space="0" w:color="auto"/>
              </w:divBdr>
            </w:div>
            <w:div w:id="3233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059">
      <w:bodyDiv w:val="1"/>
      <w:marLeft w:val="0"/>
      <w:marRight w:val="0"/>
      <w:marTop w:val="0"/>
      <w:marBottom w:val="0"/>
      <w:divBdr>
        <w:top w:val="none" w:sz="0" w:space="0" w:color="auto"/>
        <w:left w:val="none" w:sz="0" w:space="0" w:color="auto"/>
        <w:bottom w:val="none" w:sz="0" w:space="0" w:color="auto"/>
        <w:right w:val="none" w:sz="0" w:space="0" w:color="auto"/>
      </w:divBdr>
    </w:div>
    <w:div w:id="76441073">
      <w:bodyDiv w:val="1"/>
      <w:marLeft w:val="0"/>
      <w:marRight w:val="0"/>
      <w:marTop w:val="0"/>
      <w:marBottom w:val="0"/>
      <w:divBdr>
        <w:top w:val="none" w:sz="0" w:space="0" w:color="auto"/>
        <w:left w:val="none" w:sz="0" w:space="0" w:color="auto"/>
        <w:bottom w:val="none" w:sz="0" w:space="0" w:color="auto"/>
        <w:right w:val="none" w:sz="0" w:space="0" w:color="auto"/>
      </w:divBdr>
      <w:divsChild>
        <w:div w:id="798690588">
          <w:marLeft w:val="0"/>
          <w:marRight w:val="0"/>
          <w:marTop w:val="0"/>
          <w:marBottom w:val="0"/>
          <w:divBdr>
            <w:top w:val="none" w:sz="0" w:space="0" w:color="auto"/>
            <w:left w:val="none" w:sz="0" w:space="0" w:color="auto"/>
            <w:bottom w:val="none" w:sz="0" w:space="0" w:color="auto"/>
            <w:right w:val="none" w:sz="0" w:space="0" w:color="auto"/>
          </w:divBdr>
          <w:divsChild>
            <w:div w:id="296692867">
              <w:marLeft w:val="0"/>
              <w:marRight w:val="0"/>
              <w:marTop w:val="0"/>
              <w:marBottom w:val="0"/>
              <w:divBdr>
                <w:top w:val="none" w:sz="0" w:space="0" w:color="auto"/>
                <w:left w:val="none" w:sz="0" w:space="0" w:color="auto"/>
                <w:bottom w:val="none" w:sz="0" w:space="0" w:color="auto"/>
                <w:right w:val="none" w:sz="0" w:space="0" w:color="auto"/>
              </w:divBdr>
            </w:div>
            <w:div w:id="577519001">
              <w:marLeft w:val="0"/>
              <w:marRight w:val="0"/>
              <w:marTop w:val="0"/>
              <w:marBottom w:val="0"/>
              <w:divBdr>
                <w:top w:val="none" w:sz="0" w:space="0" w:color="auto"/>
                <w:left w:val="none" w:sz="0" w:space="0" w:color="auto"/>
                <w:bottom w:val="none" w:sz="0" w:space="0" w:color="auto"/>
                <w:right w:val="none" w:sz="0" w:space="0" w:color="auto"/>
              </w:divBdr>
            </w:div>
            <w:div w:id="1032419091">
              <w:marLeft w:val="0"/>
              <w:marRight w:val="0"/>
              <w:marTop w:val="0"/>
              <w:marBottom w:val="0"/>
              <w:divBdr>
                <w:top w:val="none" w:sz="0" w:space="0" w:color="auto"/>
                <w:left w:val="none" w:sz="0" w:space="0" w:color="auto"/>
                <w:bottom w:val="none" w:sz="0" w:space="0" w:color="auto"/>
                <w:right w:val="none" w:sz="0" w:space="0" w:color="auto"/>
              </w:divBdr>
            </w:div>
            <w:div w:id="1227953176">
              <w:marLeft w:val="0"/>
              <w:marRight w:val="0"/>
              <w:marTop w:val="0"/>
              <w:marBottom w:val="0"/>
              <w:divBdr>
                <w:top w:val="none" w:sz="0" w:space="0" w:color="auto"/>
                <w:left w:val="none" w:sz="0" w:space="0" w:color="auto"/>
                <w:bottom w:val="none" w:sz="0" w:space="0" w:color="auto"/>
                <w:right w:val="none" w:sz="0" w:space="0" w:color="auto"/>
              </w:divBdr>
            </w:div>
            <w:div w:id="18206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820">
      <w:bodyDiv w:val="1"/>
      <w:marLeft w:val="0"/>
      <w:marRight w:val="0"/>
      <w:marTop w:val="0"/>
      <w:marBottom w:val="0"/>
      <w:divBdr>
        <w:top w:val="none" w:sz="0" w:space="0" w:color="auto"/>
        <w:left w:val="none" w:sz="0" w:space="0" w:color="auto"/>
        <w:bottom w:val="none" w:sz="0" w:space="0" w:color="auto"/>
        <w:right w:val="none" w:sz="0" w:space="0" w:color="auto"/>
      </w:divBdr>
    </w:div>
    <w:div w:id="194538947">
      <w:bodyDiv w:val="1"/>
      <w:marLeft w:val="0"/>
      <w:marRight w:val="0"/>
      <w:marTop w:val="0"/>
      <w:marBottom w:val="0"/>
      <w:divBdr>
        <w:top w:val="none" w:sz="0" w:space="0" w:color="auto"/>
        <w:left w:val="none" w:sz="0" w:space="0" w:color="auto"/>
        <w:bottom w:val="none" w:sz="0" w:space="0" w:color="auto"/>
        <w:right w:val="none" w:sz="0" w:space="0" w:color="auto"/>
      </w:divBdr>
      <w:divsChild>
        <w:div w:id="1359503050">
          <w:marLeft w:val="0"/>
          <w:marRight w:val="0"/>
          <w:marTop w:val="0"/>
          <w:marBottom w:val="0"/>
          <w:divBdr>
            <w:top w:val="none" w:sz="0" w:space="0" w:color="auto"/>
            <w:left w:val="none" w:sz="0" w:space="0" w:color="auto"/>
            <w:bottom w:val="none" w:sz="0" w:space="0" w:color="auto"/>
            <w:right w:val="none" w:sz="0" w:space="0" w:color="auto"/>
          </w:divBdr>
          <w:divsChild>
            <w:div w:id="131101762">
              <w:marLeft w:val="0"/>
              <w:marRight w:val="0"/>
              <w:marTop w:val="0"/>
              <w:marBottom w:val="0"/>
              <w:divBdr>
                <w:top w:val="none" w:sz="0" w:space="0" w:color="auto"/>
                <w:left w:val="none" w:sz="0" w:space="0" w:color="auto"/>
                <w:bottom w:val="none" w:sz="0" w:space="0" w:color="auto"/>
                <w:right w:val="none" w:sz="0" w:space="0" w:color="auto"/>
              </w:divBdr>
            </w:div>
            <w:div w:id="6489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9397">
      <w:bodyDiv w:val="1"/>
      <w:marLeft w:val="0"/>
      <w:marRight w:val="0"/>
      <w:marTop w:val="0"/>
      <w:marBottom w:val="0"/>
      <w:divBdr>
        <w:top w:val="none" w:sz="0" w:space="0" w:color="auto"/>
        <w:left w:val="none" w:sz="0" w:space="0" w:color="auto"/>
        <w:bottom w:val="none" w:sz="0" w:space="0" w:color="auto"/>
        <w:right w:val="none" w:sz="0" w:space="0" w:color="auto"/>
      </w:divBdr>
    </w:div>
    <w:div w:id="324942859">
      <w:bodyDiv w:val="1"/>
      <w:marLeft w:val="0"/>
      <w:marRight w:val="0"/>
      <w:marTop w:val="0"/>
      <w:marBottom w:val="0"/>
      <w:divBdr>
        <w:top w:val="none" w:sz="0" w:space="0" w:color="auto"/>
        <w:left w:val="none" w:sz="0" w:space="0" w:color="auto"/>
        <w:bottom w:val="none" w:sz="0" w:space="0" w:color="auto"/>
        <w:right w:val="none" w:sz="0" w:space="0" w:color="auto"/>
      </w:divBdr>
      <w:divsChild>
        <w:div w:id="1558931981">
          <w:marLeft w:val="0"/>
          <w:marRight w:val="0"/>
          <w:marTop w:val="0"/>
          <w:marBottom w:val="0"/>
          <w:divBdr>
            <w:top w:val="none" w:sz="0" w:space="0" w:color="auto"/>
            <w:left w:val="none" w:sz="0" w:space="0" w:color="auto"/>
            <w:bottom w:val="none" w:sz="0" w:space="0" w:color="auto"/>
            <w:right w:val="none" w:sz="0" w:space="0" w:color="auto"/>
          </w:divBdr>
          <w:divsChild>
            <w:div w:id="1390231372">
              <w:marLeft w:val="0"/>
              <w:marRight w:val="0"/>
              <w:marTop w:val="0"/>
              <w:marBottom w:val="0"/>
              <w:divBdr>
                <w:top w:val="none" w:sz="0" w:space="0" w:color="auto"/>
                <w:left w:val="none" w:sz="0" w:space="0" w:color="auto"/>
                <w:bottom w:val="none" w:sz="0" w:space="0" w:color="auto"/>
                <w:right w:val="none" w:sz="0" w:space="0" w:color="auto"/>
              </w:divBdr>
            </w:div>
            <w:div w:id="14226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6104">
      <w:bodyDiv w:val="1"/>
      <w:marLeft w:val="0"/>
      <w:marRight w:val="0"/>
      <w:marTop w:val="0"/>
      <w:marBottom w:val="0"/>
      <w:divBdr>
        <w:top w:val="none" w:sz="0" w:space="0" w:color="auto"/>
        <w:left w:val="none" w:sz="0" w:space="0" w:color="auto"/>
        <w:bottom w:val="none" w:sz="0" w:space="0" w:color="auto"/>
        <w:right w:val="none" w:sz="0" w:space="0" w:color="auto"/>
      </w:divBdr>
      <w:divsChild>
        <w:div w:id="1238057662">
          <w:marLeft w:val="0"/>
          <w:marRight w:val="0"/>
          <w:marTop w:val="0"/>
          <w:marBottom w:val="0"/>
          <w:divBdr>
            <w:top w:val="none" w:sz="0" w:space="0" w:color="auto"/>
            <w:left w:val="none" w:sz="0" w:space="0" w:color="auto"/>
            <w:bottom w:val="none" w:sz="0" w:space="0" w:color="auto"/>
            <w:right w:val="none" w:sz="0" w:space="0" w:color="auto"/>
          </w:divBdr>
          <w:divsChild>
            <w:div w:id="187303690">
              <w:marLeft w:val="0"/>
              <w:marRight w:val="0"/>
              <w:marTop w:val="0"/>
              <w:marBottom w:val="0"/>
              <w:divBdr>
                <w:top w:val="none" w:sz="0" w:space="0" w:color="auto"/>
                <w:left w:val="none" w:sz="0" w:space="0" w:color="auto"/>
                <w:bottom w:val="none" w:sz="0" w:space="0" w:color="auto"/>
                <w:right w:val="none" w:sz="0" w:space="0" w:color="auto"/>
              </w:divBdr>
            </w:div>
            <w:div w:id="616329438">
              <w:marLeft w:val="0"/>
              <w:marRight w:val="0"/>
              <w:marTop w:val="0"/>
              <w:marBottom w:val="0"/>
              <w:divBdr>
                <w:top w:val="none" w:sz="0" w:space="0" w:color="auto"/>
                <w:left w:val="none" w:sz="0" w:space="0" w:color="auto"/>
                <w:bottom w:val="none" w:sz="0" w:space="0" w:color="auto"/>
                <w:right w:val="none" w:sz="0" w:space="0" w:color="auto"/>
              </w:divBdr>
            </w:div>
            <w:div w:id="303004778">
              <w:marLeft w:val="0"/>
              <w:marRight w:val="0"/>
              <w:marTop w:val="0"/>
              <w:marBottom w:val="0"/>
              <w:divBdr>
                <w:top w:val="none" w:sz="0" w:space="0" w:color="auto"/>
                <w:left w:val="none" w:sz="0" w:space="0" w:color="auto"/>
                <w:bottom w:val="none" w:sz="0" w:space="0" w:color="auto"/>
                <w:right w:val="none" w:sz="0" w:space="0" w:color="auto"/>
              </w:divBdr>
            </w:div>
            <w:div w:id="666176192">
              <w:marLeft w:val="0"/>
              <w:marRight w:val="0"/>
              <w:marTop w:val="0"/>
              <w:marBottom w:val="0"/>
              <w:divBdr>
                <w:top w:val="none" w:sz="0" w:space="0" w:color="auto"/>
                <w:left w:val="none" w:sz="0" w:space="0" w:color="auto"/>
                <w:bottom w:val="none" w:sz="0" w:space="0" w:color="auto"/>
                <w:right w:val="none" w:sz="0" w:space="0" w:color="auto"/>
              </w:divBdr>
            </w:div>
            <w:div w:id="19330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1933">
      <w:bodyDiv w:val="1"/>
      <w:marLeft w:val="0"/>
      <w:marRight w:val="0"/>
      <w:marTop w:val="0"/>
      <w:marBottom w:val="0"/>
      <w:divBdr>
        <w:top w:val="none" w:sz="0" w:space="0" w:color="auto"/>
        <w:left w:val="none" w:sz="0" w:space="0" w:color="auto"/>
        <w:bottom w:val="none" w:sz="0" w:space="0" w:color="auto"/>
        <w:right w:val="none" w:sz="0" w:space="0" w:color="auto"/>
      </w:divBdr>
    </w:div>
    <w:div w:id="397172826">
      <w:bodyDiv w:val="1"/>
      <w:marLeft w:val="0"/>
      <w:marRight w:val="0"/>
      <w:marTop w:val="0"/>
      <w:marBottom w:val="0"/>
      <w:divBdr>
        <w:top w:val="none" w:sz="0" w:space="0" w:color="auto"/>
        <w:left w:val="none" w:sz="0" w:space="0" w:color="auto"/>
        <w:bottom w:val="none" w:sz="0" w:space="0" w:color="auto"/>
        <w:right w:val="none" w:sz="0" w:space="0" w:color="auto"/>
      </w:divBdr>
      <w:divsChild>
        <w:div w:id="1800106102">
          <w:marLeft w:val="0"/>
          <w:marRight w:val="0"/>
          <w:marTop w:val="0"/>
          <w:marBottom w:val="0"/>
          <w:divBdr>
            <w:top w:val="none" w:sz="0" w:space="0" w:color="auto"/>
            <w:left w:val="none" w:sz="0" w:space="0" w:color="auto"/>
            <w:bottom w:val="none" w:sz="0" w:space="0" w:color="auto"/>
            <w:right w:val="none" w:sz="0" w:space="0" w:color="auto"/>
          </w:divBdr>
          <w:divsChild>
            <w:div w:id="2122147781">
              <w:marLeft w:val="0"/>
              <w:marRight w:val="0"/>
              <w:marTop w:val="0"/>
              <w:marBottom w:val="0"/>
              <w:divBdr>
                <w:top w:val="none" w:sz="0" w:space="0" w:color="auto"/>
                <w:left w:val="none" w:sz="0" w:space="0" w:color="auto"/>
                <w:bottom w:val="none" w:sz="0" w:space="0" w:color="auto"/>
                <w:right w:val="none" w:sz="0" w:space="0" w:color="auto"/>
              </w:divBdr>
            </w:div>
            <w:div w:id="348334749">
              <w:marLeft w:val="0"/>
              <w:marRight w:val="0"/>
              <w:marTop w:val="0"/>
              <w:marBottom w:val="0"/>
              <w:divBdr>
                <w:top w:val="none" w:sz="0" w:space="0" w:color="auto"/>
                <w:left w:val="none" w:sz="0" w:space="0" w:color="auto"/>
                <w:bottom w:val="none" w:sz="0" w:space="0" w:color="auto"/>
                <w:right w:val="none" w:sz="0" w:space="0" w:color="auto"/>
              </w:divBdr>
            </w:div>
            <w:div w:id="1335180697">
              <w:marLeft w:val="0"/>
              <w:marRight w:val="0"/>
              <w:marTop w:val="0"/>
              <w:marBottom w:val="0"/>
              <w:divBdr>
                <w:top w:val="none" w:sz="0" w:space="0" w:color="auto"/>
                <w:left w:val="none" w:sz="0" w:space="0" w:color="auto"/>
                <w:bottom w:val="none" w:sz="0" w:space="0" w:color="auto"/>
                <w:right w:val="none" w:sz="0" w:space="0" w:color="auto"/>
              </w:divBdr>
            </w:div>
            <w:div w:id="915481563">
              <w:marLeft w:val="0"/>
              <w:marRight w:val="0"/>
              <w:marTop w:val="0"/>
              <w:marBottom w:val="0"/>
              <w:divBdr>
                <w:top w:val="none" w:sz="0" w:space="0" w:color="auto"/>
                <w:left w:val="none" w:sz="0" w:space="0" w:color="auto"/>
                <w:bottom w:val="none" w:sz="0" w:space="0" w:color="auto"/>
                <w:right w:val="none" w:sz="0" w:space="0" w:color="auto"/>
              </w:divBdr>
            </w:div>
            <w:div w:id="7682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6561">
      <w:bodyDiv w:val="1"/>
      <w:marLeft w:val="0"/>
      <w:marRight w:val="0"/>
      <w:marTop w:val="0"/>
      <w:marBottom w:val="0"/>
      <w:divBdr>
        <w:top w:val="none" w:sz="0" w:space="0" w:color="auto"/>
        <w:left w:val="none" w:sz="0" w:space="0" w:color="auto"/>
        <w:bottom w:val="none" w:sz="0" w:space="0" w:color="auto"/>
        <w:right w:val="none" w:sz="0" w:space="0" w:color="auto"/>
      </w:divBdr>
    </w:div>
    <w:div w:id="687869759">
      <w:bodyDiv w:val="1"/>
      <w:marLeft w:val="0"/>
      <w:marRight w:val="0"/>
      <w:marTop w:val="0"/>
      <w:marBottom w:val="0"/>
      <w:divBdr>
        <w:top w:val="none" w:sz="0" w:space="0" w:color="auto"/>
        <w:left w:val="none" w:sz="0" w:space="0" w:color="auto"/>
        <w:bottom w:val="none" w:sz="0" w:space="0" w:color="auto"/>
        <w:right w:val="none" w:sz="0" w:space="0" w:color="auto"/>
      </w:divBdr>
    </w:div>
    <w:div w:id="841240065">
      <w:bodyDiv w:val="1"/>
      <w:marLeft w:val="0"/>
      <w:marRight w:val="0"/>
      <w:marTop w:val="0"/>
      <w:marBottom w:val="0"/>
      <w:divBdr>
        <w:top w:val="none" w:sz="0" w:space="0" w:color="auto"/>
        <w:left w:val="none" w:sz="0" w:space="0" w:color="auto"/>
        <w:bottom w:val="none" w:sz="0" w:space="0" w:color="auto"/>
        <w:right w:val="none" w:sz="0" w:space="0" w:color="auto"/>
      </w:divBdr>
      <w:divsChild>
        <w:div w:id="1148012186">
          <w:marLeft w:val="0"/>
          <w:marRight w:val="0"/>
          <w:marTop w:val="0"/>
          <w:marBottom w:val="0"/>
          <w:divBdr>
            <w:top w:val="none" w:sz="0" w:space="0" w:color="auto"/>
            <w:left w:val="none" w:sz="0" w:space="0" w:color="auto"/>
            <w:bottom w:val="none" w:sz="0" w:space="0" w:color="auto"/>
            <w:right w:val="none" w:sz="0" w:space="0" w:color="auto"/>
          </w:divBdr>
          <w:divsChild>
            <w:div w:id="1794519330">
              <w:marLeft w:val="0"/>
              <w:marRight w:val="0"/>
              <w:marTop w:val="0"/>
              <w:marBottom w:val="0"/>
              <w:divBdr>
                <w:top w:val="none" w:sz="0" w:space="0" w:color="auto"/>
                <w:left w:val="none" w:sz="0" w:space="0" w:color="auto"/>
                <w:bottom w:val="none" w:sz="0" w:space="0" w:color="auto"/>
                <w:right w:val="none" w:sz="0" w:space="0" w:color="auto"/>
              </w:divBdr>
            </w:div>
            <w:div w:id="2021465241">
              <w:marLeft w:val="0"/>
              <w:marRight w:val="0"/>
              <w:marTop w:val="0"/>
              <w:marBottom w:val="0"/>
              <w:divBdr>
                <w:top w:val="none" w:sz="0" w:space="0" w:color="auto"/>
                <w:left w:val="none" w:sz="0" w:space="0" w:color="auto"/>
                <w:bottom w:val="none" w:sz="0" w:space="0" w:color="auto"/>
                <w:right w:val="none" w:sz="0" w:space="0" w:color="auto"/>
              </w:divBdr>
            </w:div>
            <w:div w:id="981886921">
              <w:marLeft w:val="0"/>
              <w:marRight w:val="0"/>
              <w:marTop w:val="0"/>
              <w:marBottom w:val="0"/>
              <w:divBdr>
                <w:top w:val="none" w:sz="0" w:space="0" w:color="auto"/>
                <w:left w:val="none" w:sz="0" w:space="0" w:color="auto"/>
                <w:bottom w:val="none" w:sz="0" w:space="0" w:color="auto"/>
                <w:right w:val="none" w:sz="0" w:space="0" w:color="auto"/>
              </w:divBdr>
            </w:div>
            <w:div w:id="10079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9372">
      <w:bodyDiv w:val="1"/>
      <w:marLeft w:val="0"/>
      <w:marRight w:val="0"/>
      <w:marTop w:val="0"/>
      <w:marBottom w:val="0"/>
      <w:divBdr>
        <w:top w:val="none" w:sz="0" w:space="0" w:color="auto"/>
        <w:left w:val="none" w:sz="0" w:space="0" w:color="auto"/>
        <w:bottom w:val="none" w:sz="0" w:space="0" w:color="auto"/>
        <w:right w:val="none" w:sz="0" w:space="0" w:color="auto"/>
      </w:divBdr>
    </w:div>
    <w:div w:id="906570483">
      <w:bodyDiv w:val="1"/>
      <w:marLeft w:val="0"/>
      <w:marRight w:val="0"/>
      <w:marTop w:val="0"/>
      <w:marBottom w:val="0"/>
      <w:divBdr>
        <w:top w:val="none" w:sz="0" w:space="0" w:color="auto"/>
        <w:left w:val="none" w:sz="0" w:space="0" w:color="auto"/>
        <w:bottom w:val="none" w:sz="0" w:space="0" w:color="auto"/>
        <w:right w:val="none" w:sz="0" w:space="0" w:color="auto"/>
      </w:divBdr>
    </w:div>
    <w:div w:id="936250979">
      <w:bodyDiv w:val="1"/>
      <w:marLeft w:val="0"/>
      <w:marRight w:val="0"/>
      <w:marTop w:val="0"/>
      <w:marBottom w:val="0"/>
      <w:divBdr>
        <w:top w:val="none" w:sz="0" w:space="0" w:color="auto"/>
        <w:left w:val="none" w:sz="0" w:space="0" w:color="auto"/>
        <w:bottom w:val="none" w:sz="0" w:space="0" w:color="auto"/>
        <w:right w:val="none" w:sz="0" w:space="0" w:color="auto"/>
      </w:divBdr>
      <w:divsChild>
        <w:div w:id="1663046295">
          <w:marLeft w:val="0"/>
          <w:marRight w:val="0"/>
          <w:marTop w:val="0"/>
          <w:marBottom w:val="0"/>
          <w:divBdr>
            <w:top w:val="none" w:sz="0" w:space="0" w:color="auto"/>
            <w:left w:val="none" w:sz="0" w:space="0" w:color="auto"/>
            <w:bottom w:val="none" w:sz="0" w:space="0" w:color="auto"/>
            <w:right w:val="none" w:sz="0" w:space="0" w:color="auto"/>
          </w:divBdr>
          <w:divsChild>
            <w:div w:id="1124428407">
              <w:marLeft w:val="0"/>
              <w:marRight w:val="0"/>
              <w:marTop w:val="0"/>
              <w:marBottom w:val="0"/>
              <w:divBdr>
                <w:top w:val="none" w:sz="0" w:space="0" w:color="auto"/>
                <w:left w:val="none" w:sz="0" w:space="0" w:color="auto"/>
                <w:bottom w:val="none" w:sz="0" w:space="0" w:color="auto"/>
                <w:right w:val="none" w:sz="0" w:space="0" w:color="auto"/>
              </w:divBdr>
            </w:div>
            <w:div w:id="2026009980">
              <w:marLeft w:val="0"/>
              <w:marRight w:val="0"/>
              <w:marTop w:val="0"/>
              <w:marBottom w:val="0"/>
              <w:divBdr>
                <w:top w:val="none" w:sz="0" w:space="0" w:color="auto"/>
                <w:left w:val="none" w:sz="0" w:space="0" w:color="auto"/>
                <w:bottom w:val="none" w:sz="0" w:space="0" w:color="auto"/>
                <w:right w:val="none" w:sz="0" w:space="0" w:color="auto"/>
              </w:divBdr>
            </w:div>
            <w:div w:id="1309551698">
              <w:marLeft w:val="0"/>
              <w:marRight w:val="0"/>
              <w:marTop w:val="0"/>
              <w:marBottom w:val="0"/>
              <w:divBdr>
                <w:top w:val="none" w:sz="0" w:space="0" w:color="auto"/>
                <w:left w:val="none" w:sz="0" w:space="0" w:color="auto"/>
                <w:bottom w:val="none" w:sz="0" w:space="0" w:color="auto"/>
                <w:right w:val="none" w:sz="0" w:space="0" w:color="auto"/>
              </w:divBdr>
            </w:div>
            <w:div w:id="1477911787">
              <w:marLeft w:val="0"/>
              <w:marRight w:val="0"/>
              <w:marTop w:val="0"/>
              <w:marBottom w:val="0"/>
              <w:divBdr>
                <w:top w:val="none" w:sz="0" w:space="0" w:color="auto"/>
                <w:left w:val="none" w:sz="0" w:space="0" w:color="auto"/>
                <w:bottom w:val="none" w:sz="0" w:space="0" w:color="auto"/>
                <w:right w:val="none" w:sz="0" w:space="0" w:color="auto"/>
              </w:divBdr>
            </w:div>
            <w:div w:id="1750232325">
              <w:marLeft w:val="0"/>
              <w:marRight w:val="0"/>
              <w:marTop w:val="0"/>
              <w:marBottom w:val="0"/>
              <w:divBdr>
                <w:top w:val="none" w:sz="0" w:space="0" w:color="auto"/>
                <w:left w:val="none" w:sz="0" w:space="0" w:color="auto"/>
                <w:bottom w:val="none" w:sz="0" w:space="0" w:color="auto"/>
                <w:right w:val="none" w:sz="0" w:space="0" w:color="auto"/>
              </w:divBdr>
            </w:div>
            <w:div w:id="2115440348">
              <w:marLeft w:val="0"/>
              <w:marRight w:val="0"/>
              <w:marTop w:val="0"/>
              <w:marBottom w:val="0"/>
              <w:divBdr>
                <w:top w:val="none" w:sz="0" w:space="0" w:color="auto"/>
                <w:left w:val="none" w:sz="0" w:space="0" w:color="auto"/>
                <w:bottom w:val="none" w:sz="0" w:space="0" w:color="auto"/>
                <w:right w:val="none" w:sz="0" w:space="0" w:color="auto"/>
              </w:divBdr>
            </w:div>
            <w:div w:id="1300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7680">
      <w:bodyDiv w:val="1"/>
      <w:marLeft w:val="0"/>
      <w:marRight w:val="0"/>
      <w:marTop w:val="0"/>
      <w:marBottom w:val="0"/>
      <w:divBdr>
        <w:top w:val="none" w:sz="0" w:space="0" w:color="auto"/>
        <w:left w:val="none" w:sz="0" w:space="0" w:color="auto"/>
        <w:bottom w:val="none" w:sz="0" w:space="0" w:color="auto"/>
        <w:right w:val="none" w:sz="0" w:space="0" w:color="auto"/>
      </w:divBdr>
      <w:divsChild>
        <w:div w:id="2035302179">
          <w:marLeft w:val="0"/>
          <w:marRight w:val="0"/>
          <w:marTop w:val="0"/>
          <w:marBottom w:val="0"/>
          <w:divBdr>
            <w:top w:val="none" w:sz="0" w:space="0" w:color="auto"/>
            <w:left w:val="none" w:sz="0" w:space="0" w:color="auto"/>
            <w:bottom w:val="none" w:sz="0" w:space="0" w:color="auto"/>
            <w:right w:val="none" w:sz="0" w:space="0" w:color="auto"/>
          </w:divBdr>
          <w:divsChild>
            <w:div w:id="869612567">
              <w:marLeft w:val="0"/>
              <w:marRight w:val="0"/>
              <w:marTop w:val="0"/>
              <w:marBottom w:val="0"/>
              <w:divBdr>
                <w:top w:val="none" w:sz="0" w:space="0" w:color="auto"/>
                <w:left w:val="none" w:sz="0" w:space="0" w:color="auto"/>
                <w:bottom w:val="none" w:sz="0" w:space="0" w:color="auto"/>
                <w:right w:val="none" w:sz="0" w:space="0" w:color="auto"/>
              </w:divBdr>
            </w:div>
            <w:div w:id="1516194309">
              <w:marLeft w:val="0"/>
              <w:marRight w:val="0"/>
              <w:marTop w:val="0"/>
              <w:marBottom w:val="0"/>
              <w:divBdr>
                <w:top w:val="none" w:sz="0" w:space="0" w:color="auto"/>
                <w:left w:val="none" w:sz="0" w:space="0" w:color="auto"/>
                <w:bottom w:val="none" w:sz="0" w:space="0" w:color="auto"/>
                <w:right w:val="none" w:sz="0" w:space="0" w:color="auto"/>
              </w:divBdr>
            </w:div>
            <w:div w:id="790855242">
              <w:marLeft w:val="0"/>
              <w:marRight w:val="0"/>
              <w:marTop w:val="0"/>
              <w:marBottom w:val="0"/>
              <w:divBdr>
                <w:top w:val="none" w:sz="0" w:space="0" w:color="auto"/>
                <w:left w:val="none" w:sz="0" w:space="0" w:color="auto"/>
                <w:bottom w:val="none" w:sz="0" w:space="0" w:color="auto"/>
                <w:right w:val="none" w:sz="0" w:space="0" w:color="auto"/>
              </w:divBdr>
            </w:div>
            <w:div w:id="3138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011">
      <w:bodyDiv w:val="1"/>
      <w:marLeft w:val="0"/>
      <w:marRight w:val="0"/>
      <w:marTop w:val="0"/>
      <w:marBottom w:val="0"/>
      <w:divBdr>
        <w:top w:val="none" w:sz="0" w:space="0" w:color="auto"/>
        <w:left w:val="none" w:sz="0" w:space="0" w:color="auto"/>
        <w:bottom w:val="none" w:sz="0" w:space="0" w:color="auto"/>
        <w:right w:val="none" w:sz="0" w:space="0" w:color="auto"/>
      </w:divBdr>
    </w:div>
    <w:div w:id="1147628518">
      <w:bodyDiv w:val="1"/>
      <w:marLeft w:val="0"/>
      <w:marRight w:val="0"/>
      <w:marTop w:val="0"/>
      <w:marBottom w:val="0"/>
      <w:divBdr>
        <w:top w:val="none" w:sz="0" w:space="0" w:color="auto"/>
        <w:left w:val="none" w:sz="0" w:space="0" w:color="auto"/>
        <w:bottom w:val="none" w:sz="0" w:space="0" w:color="auto"/>
        <w:right w:val="none" w:sz="0" w:space="0" w:color="auto"/>
      </w:divBdr>
    </w:div>
    <w:div w:id="1237591992">
      <w:bodyDiv w:val="1"/>
      <w:marLeft w:val="0"/>
      <w:marRight w:val="0"/>
      <w:marTop w:val="0"/>
      <w:marBottom w:val="0"/>
      <w:divBdr>
        <w:top w:val="none" w:sz="0" w:space="0" w:color="auto"/>
        <w:left w:val="none" w:sz="0" w:space="0" w:color="auto"/>
        <w:bottom w:val="none" w:sz="0" w:space="0" w:color="auto"/>
        <w:right w:val="none" w:sz="0" w:space="0" w:color="auto"/>
      </w:divBdr>
      <w:divsChild>
        <w:div w:id="676613024">
          <w:marLeft w:val="0"/>
          <w:marRight w:val="0"/>
          <w:marTop w:val="0"/>
          <w:marBottom w:val="0"/>
          <w:divBdr>
            <w:top w:val="none" w:sz="0" w:space="0" w:color="auto"/>
            <w:left w:val="none" w:sz="0" w:space="0" w:color="auto"/>
            <w:bottom w:val="none" w:sz="0" w:space="0" w:color="auto"/>
            <w:right w:val="none" w:sz="0" w:space="0" w:color="auto"/>
          </w:divBdr>
          <w:divsChild>
            <w:div w:id="131364281">
              <w:marLeft w:val="0"/>
              <w:marRight w:val="0"/>
              <w:marTop w:val="0"/>
              <w:marBottom w:val="0"/>
              <w:divBdr>
                <w:top w:val="none" w:sz="0" w:space="0" w:color="auto"/>
                <w:left w:val="none" w:sz="0" w:space="0" w:color="auto"/>
                <w:bottom w:val="none" w:sz="0" w:space="0" w:color="auto"/>
                <w:right w:val="none" w:sz="0" w:space="0" w:color="auto"/>
              </w:divBdr>
            </w:div>
            <w:div w:id="144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7345">
      <w:bodyDiv w:val="1"/>
      <w:marLeft w:val="0"/>
      <w:marRight w:val="0"/>
      <w:marTop w:val="0"/>
      <w:marBottom w:val="0"/>
      <w:divBdr>
        <w:top w:val="none" w:sz="0" w:space="0" w:color="auto"/>
        <w:left w:val="none" w:sz="0" w:space="0" w:color="auto"/>
        <w:bottom w:val="none" w:sz="0" w:space="0" w:color="auto"/>
        <w:right w:val="none" w:sz="0" w:space="0" w:color="auto"/>
      </w:divBdr>
      <w:divsChild>
        <w:div w:id="2101438523">
          <w:marLeft w:val="0"/>
          <w:marRight w:val="0"/>
          <w:marTop w:val="0"/>
          <w:marBottom w:val="0"/>
          <w:divBdr>
            <w:top w:val="none" w:sz="0" w:space="0" w:color="auto"/>
            <w:left w:val="none" w:sz="0" w:space="0" w:color="auto"/>
            <w:bottom w:val="none" w:sz="0" w:space="0" w:color="auto"/>
            <w:right w:val="none" w:sz="0" w:space="0" w:color="auto"/>
          </w:divBdr>
          <w:divsChild>
            <w:div w:id="984775537">
              <w:marLeft w:val="0"/>
              <w:marRight w:val="0"/>
              <w:marTop w:val="0"/>
              <w:marBottom w:val="0"/>
              <w:divBdr>
                <w:top w:val="none" w:sz="0" w:space="0" w:color="auto"/>
                <w:left w:val="none" w:sz="0" w:space="0" w:color="auto"/>
                <w:bottom w:val="none" w:sz="0" w:space="0" w:color="auto"/>
                <w:right w:val="none" w:sz="0" w:space="0" w:color="auto"/>
              </w:divBdr>
            </w:div>
            <w:div w:id="1521049134">
              <w:marLeft w:val="0"/>
              <w:marRight w:val="0"/>
              <w:marTop w:val="0"/>
              <w:marBottom w:val="0"/>
              <w:divBdr>
                <w:top w:val="none" w:sz="0" w:space="0" w:color="auto"/>
                <w:left w:val="none" w:sz="0" w:space="0" w:color="auto"/>
                <w:bottom w:val="none" w:sz="0" w:space="0" w:color="auto"/>
                <w:right w:val="none" w:sz="0" w:space="0" w:color="auto"/>
              </w:divBdr>
            </w:div>
            <w:div w:id="752319442">
              <w:marLeft w:val="0"/>
              <w:marRight w:val="0"/>
              <w:marTop w:val="0"/>
              <w:marBottom w:val="0"/>
              <w:divBdr>
                <w:top w:val="none" w:sz="0" w:space="0" w:color="auto"/>
                <w:left w:val="none" w:sz="0" w:space="0" w:color="auto"/>
                <w:bottom w:val="none" w:sz="0" w:space="0" w:color="auto"/>
                <w:right w:val="none" w:sz="0" w:space="0" w:color="auto"/>
              </w:divBdr>
            </w:div>
            <w:div w:id="1257640404">
              <w:marLeft w:val="0"/>
              <w:marRight w:val="0"/>
              <w:marTop w:val="0"/>
              <w:marBottom w:val="0"/>
              <w:divBdr>
                <w:top w:val="none" w:sz="0" w:space="0" w:color="auto"/>
                <w:left w:val="none" w:sz="0" w:space="0" w:color="auto"/>
                <w:bottom w:val="none" w:sz="0" w:space="0" w:color="auto"/>
                <w:right w:val="none" w:sz="0" w:space="0" w:color="auto"/>
              </w:divBdr>
            </w:div>
            <w:div w:id="41103697">
              <w:marLeft w:val="0"/>
              <w:marRight w:val="0"/>
              <w:marTop w:val="0"/>
              <w:marBottom w:val="0"/>
              <w:divBdr>
                <w:top w:val="none" w:sz="0" w:space="0" w:color="auto"/>
                <w:left w:val="none" w:sz="0" w:space="0" w:color="auto"/>
                <w:bottom w:val="none" w:sz="0" w:space="0" w:color="auto"/>
                <w:right w:val="none" w:sz="0" w:space="0" w:color="auto"/>
              </w:divBdr>
            </w:div>
            <w:div w:id="2128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2549">
      <w:bodyDiv w:val="1"/>
      <w:marLeft w:val="0"/>
      <w:marRight w:val="0"/>
      <w:marTop w:val="0"/>
      <w:marBottom w:val="0"/>
      <w:divBdr>
        <w:top w:val="none" w:sz="0" w:space="0" w:color="auto"/>
        <w:left w:val="none" w:sz="0" w:space="0" w:color="auto"/>
        <w:bottom w:val="none" w:sz="0" w:space="0" w:color="auto"/>
        <w:right w:val="none" w:sz="0" w:space="0" w:color="auto"/>
      </w:divBdr>
    </w:div>
    <w:div w:id="1470782709">
      <w:bodyDiv w:val="1"/>
      <w:marLeft w:val="0"/>
      <w:marRight w:val="0"/>
      <w:marTop w:val="0"/>
      <w:marBottom w:val="0"/>
      <w:divBdr>
        <w:top w:val="none" w:sz="0" w:space="0" w:color="auto"/>
        <w:left w:val="none" w:sz="0" w:space="0" w:color="auto"/>
        <w:bottom w:val="none" w:sz="0" w:space="0" w:color="auto"/>
        <w:right w:val="none" w:sz="0" w:space="0" w:color="auto"/>
      </w:divBdr>
      <w:divsChild>
        <w:div w:id="2046366370">
          <w:marLeft w:val="0"/>
          <w:marRight w:val="0"/>
          <w:marTop w:val="0"/>
          <w:marBottom w:val="0"/>
          <w:divBdr>
            <w:top w:val="none" w:sz="0" w:space="0" w:color="auto"/>
            <w:left w:val="none" w:sz="0" w:space="0" w:color="auto"/>
            <w:bottom w:val="none" w:sz="0" w:space="0" w:color="auto"/>
            <w:right w:val="none" w:sz="0" w:space="0" w:color="auto"/>
          </w:divBdr>
          <w:divsChild>
            <w:div w:id="1675064301">
              <w:marLeft w:val="0"/>
              <w:marRight w:val="0"/>
              <w:marTop w:val="0"/>
              <w:marBottom w:val="0"/>
              <w:divBdr>
                <w:top w:val="none" w:sz="0" w:space="0" w:color="auto"/>
                <w:left w:val="none" w:sz="0" w:space="0" w:color="auto"/>
                <w:bottom w:val="none" w:sz="0" w:space="0" w:color="auto"/>
                <w:right w:val="none" w:sz="0" w:space="0" w:color="auto"/>
              </w:divBdr>
            </w:div>
            <w:div w:id="1851411975">
              <w:marLeft w:val="0"/>
              <w:marRight w:val="0"/>
              <w:marTop w:val="0"/>
              <w:marBottom w:val="0"/>
              <w:divBdr>
                <w:top w:val="none" w:sz="0" w:space="0" w:color="auto"/>
                <w:left w:val="none" w:sz="0" w:space="0" w:color="auto"/>
                <w:bottom w:val="none" w:sz="0" w:space="0" w:color="auto"/>
                <w:right w:val="none" w:sz="0" w:space="0" w:color="auto"/>
              </w:divBdr>
            </w:div>
            <w:div w:id="124542119">
              <w:marLeft w:val="0"/>
              <w:marRight w:val="0"/>
              <w:marTop w:val="0"/>
              <w:marBottom w:val="0"/>
              <w:divBdr>
                <w:top w:val="none" w:sz="0" w:space="0" w:color="auto"/>
                <w:left w:val="none" w:sz="0" w:space="0" w:color="auto"/>
                <w:bottom w:val="none" w:sz="0" w:space="0" w:color="auto"/>
                <w:right w:val="none" w:sz="0" w:space="0" w:color="auto"/>
              </w:divBdr>
            </w:div>
            <w:div w:id="3442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1086">
      <w:bodyDiv w:val="1"/>
      <w:marLeft w:val="0"/>
      <w:marRight w:val="0"/>
      <w:marTop w:val="0"/>
      <w:marBottom w:val="0"/>
      <w:divBdr>
        <w:top w:val="none" w:sz="0" w:space="0" w:color="auto"/>
        <w:left w:val="none" w:sz="0" w:space="0" w:color="auto"/>
        <w:bottom w:val="none" w:sz="0" w:space="0" w:color="auto"/>
        <w:right w:val="none" w:sz="0" w:space="0" w:color="auto"/>
      </w:divBdr>
    </w:div>
    <w:div w:id="1926765477">
      <w:bodyDiv w:val="1"/>
      <w:marLeft w:val="0"/>
      <w:marRight w:val="0"/>
      <w:marTop w:val="0"/>
      <w:marBottom w:val="0"/>
      <w:divBdr>
        <w:top w:val="none" w:sz="0" w:space="0" w:color="auto"/>
        <w:left w:val="none" w:sz="0" w:space="0" w:color="auto"/>
        <w:bottom w:val="none" w:sz="0" w:space="0" w:color="auto"/>
        <w:right w:val="none" w:sz="0" w:space="0" w:color="auto"/>
      </w:divBdr>
      <w:divsChild>
        <w:div w:id="357436647">
          <w:marLeft w:val="0"/>
          <w:marRight w:val="0"/>
          <w:marTop w:val="0"/>
          <w:marBottom w:val="0"/>
          <w:divBdr>
            <w:top w:val="none" w:sz="0" w:space="0" w:color="auto"/>
            <w:left w:val="none" w:sz="0" w:space="0" w:color="auto"/>
            <w:bottom w:val="none" w:sz="0" w:space="0" w:color="auto"/>
            <w:right w:val="none" w:sz="0" w:space="0" w:color="auto"/>
          </w:divBdr>
          <w:divsChild>
            <w:div w:id="1139886437">
              <w:marLeft w:val="0"/>
              <w:marRight w:val="0"/>
              <w:marTop w:val="0"/>
              <w:marBottom w:val="0"/>
              <w:divBdr>
                <w:top w:val="none" w:sz="0" w:space="0" w:color="auto"/>
                <w:left w:val="none" w:sz="0" w:space="0" w:color="auto"/>
                <w:bottom w:val="none" w:sz="0" w:space="0" w:color="auto"/>
                <w:right w:val="none" w:sz="0" w:space="0" w:color="auto"/>
              </w:divBdr>
            </w:div>
            <w:div w:id="1259019608">
              <w:marLeft w:val="0"/>
              <w:marRight w:val="0"/>
              <w:marTop w:val="0"/>
              <w:marBottom w:val="0"/>
              <w:divBdr>
                <w:top w:val="none" w:sz="0" w:space="0" w:color="auto"/>
                <w:left w:val="none" w:sz="0" w:space="0" w:color="auto"/>
                <w:bottom w:val="none" w:sz="0" w:space="0" w:color="auto"/>
                <w:right w:val="none" w:sz="0" w:space="0" w:color="auto"/>
              </w:divBdr>
            </w:div>
            <w:div w:id="962155851">
              <w:marLeft w:val="0"/>
              <w:marRight w:val="0"/>
              <w:marTop w:val="0"/>
              <w:marBottom w:val="0"/>
              <w:divBdr>
                <w:top w:val="none" w:sz="0" w:space="0" w:color="auto"/>
                <w:left w:val="none" w:sz="0" w:space="0" w:color="auto"/>
                <w:bottom w:val="none" w:sz="0" w:space="0" w:color="auto"/>
                <w:right w:val="none" w:sz="0" w:space="0" w:color="auto"/>
              </w:divBdr>
            </w:div>
            <w:div w:id="10245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1655">
      <w:bodyDiv w:val="1"/>
      <w:marLeft w:val="0"/>
      <w:marRight w:val="0"/>
      <w:marTop w:val="0"/>
      <w:marBottom w:val="0"/>
      <w:divBdr>
        <w:top w:val="none" w:sz="0" w:space="0" w:color="auto"/>
        <w:left w:val="none" w:sz="0" w:space="0" w:color="auto"/>
        <w:bottom w:val="none" w:sz="0" w:space="0" w:color="auto"/>
        <w:right w:val="none" w:sz="0" w:space="0" w:color="auto"/>
      </w:divBdr>
    </w:div>
    <w:div w:id="2021617433">
      <w:bodyDiv w:val="1"/>
      <w:marLeft w:val="0"/>
      <w:marRight w:val="0"/>
      <w:marTop w:val="0"/>
      <w:marBottom w:val="0"/>
      <w:divBdr>
        <w:top w:val="none" w:sz="0" w:space="0" w:color="auto"/>
        <w:left w:val="none" w:sz="0" w:space="0" w:color="auto"/>
        <w:bottom w:val="none" w:sz="0" w:space="0" w:color="auto"/>
        <w:right w:val="none" w:sz="0" w:space="0" w:color="auto"/>
      </w:divBdr>
    </w:div>
    <w:div w:id="2136480682">
      <w:bodyDiv w:val="1"/>
      <w:marLeft w:val="0"/>
      <w:marRight w:val="0"/>
      <w:marTop w:val="0"/>
      <w:marBottom w:val="0"/>
      <w:divBdr>
        <w:top w:val="none" w:sz="0" w:space="0" w:color="auto"/>
        <w:left w:val="none" w:sz="0" w:space="0" w:color="auto"/>
        <w:bottom w:val="none" w:sz="0" w:space="0" w:color="auto"/>
        <w:right w:val="none" w:sz="0" w:space="0" w:color="auto"/>
      </w:divBdr>
      <w:divsChild>
        <w:div w:id="1335260381">
          <w:marLeft w:val="0"/>
          <w:marRight w:val="0"/>
          <w:marTop w:val="0"/>
          <w:marBottom w:val="0"/>
          <w:divBdr>
            <w:top w:val="none" w:sz="0" w:space="0" w:color="auto"/>
            <w:left w:val="none" w:sz="0" w:space="0" w:color="auto"/>
            <w:bottom w:val="none" w:sz="0" w:space="0" w:color="auto"/>
            <w:right w:val="none" w:sz="0" w:space="0" w:color="auto"/>
          </w:divBdr>
          <w:divsChild>
            <w:div w:id="837036522">
              <w:marLeft w:val="0"/>
              <w:marRight w:val="0"/>
              <w:marTop w:val="0"/>
              <w:marBottom w:val="0"/>
              <w:divBdr>
                <w:top w:val="none" w:sz="0" w:space="0" w:color="auto"/>
                <w:left w:val="none" w:sz="0" w:space="0" w:color="auto"/>
                <w:bottom w:val="none" w:sz="0" w:space="0" w:color="auto"/>
                <w:right w:val="none" w:sz="0" w:space="0" w:color="auto"/>
              </w:divBdr>
            </w:div>
            <w:div w:id="3012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72-2906%20%20ID6507598514" TargetMode="External"/><Relationship Id="rId13" Type="http://schemas.openxmlformats.org/officeDocument/2006/relationships/hyperlink" Target="mailto:andreysin2013@yandex.ru" TargetMode="External"/><Relationship Id="rId18" Type="http://schemas.openxmlformats.org/officeDocument/2006/relationships/hyperlink" Target="https://doi" TargetMode="External"/><Relationship Id="rId26" Type="http://schemas.openxmlformats.org/officeDocument/2006/relationships/hyperlink" Target="https://orcid.org/0000-0003-2815-3108%20ID57215990021" TargetMode="External"/><Relationship Id="rId3" Type="http://schemas.openxmlformats.org/officeDocument/2006/relationships/styles" Target="styles.xml"/><Relationship Id="rId21" Type="http://schemas.openxmlformats.org/officeDocument/2006/relationships/hyperlink" Target="https://www.ncbi.nlm.nih.gov/pubmed/?term=Interpreting+%CE%B3-hydroxybutyrate+concentrations+for+clinical+and+forensic+purposes" TargetMode="External"/><Relationship Id="rId7" Type="http://schemas.openxmlformats.org/officeDocument/2006/relationships/endnotes" Target="endnotes.xml"/><Relationship Id="rId12" Type="http://schemas.openxmlformats.org/officeDocument/2006/relationships/hyperlink" Target="https://orcid.org/0000-0001-5659-781&#1061;" TargetMode="External"/><Relationship Id="rId17" Type="http://schemas.openxmlformats.org/officeDocument/2006/relationships/hyperlink" Target="https://doi:10.1080/15563650.2018.1519194" TargetMode="External"/><Relationship Id="rId25" Type="http://schemas.openxmlformats.org/officeDocument/2006/relationships/hyperlink" Target="https://orcid.org/0000-0002-8672-2906%20%20ID6507598514" TargetMode="External"/><Relationship Id="rId2" Type="http://schemas.openxmlformats.org/officeDocument/2006/relationships/numbering" Target="numbering.xml"/><Relationship Id="rId16" Type="http://schemas.openxmlformats.org/officeDocument/2006/relationships/hyperlink" Target="https://www.ncbi.nlm.nih.gov/pubmed/?term=Interpreting+%CE%B3-hydroxybutyrate+concentrations+for+clinical+and+forensic+purposes" TargetMode="External"/><Relationship Id="rId20" Type="http://schemas.openxmlformats.org/officeDocument/2006/relationships/hyperlink" Target="https://doi.org/10.31550/1727-2378-2018-151-7-18-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954-8977" TargetMode="External"/><Relationship Id="rId24" Type="http://schemas.openxmlformats.org/officeDocument/2006/relationships/hyperlink" Target="mailto:andreysin2013@yandex.ru"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 TargetMode="External"/><Relationship Id="rId28" Type="http://schemas.openxmlformats.org/officeDocument/2006/relationships/hyperlink" Target="https://orcid.org/0000-0001-5659-781&#1061;" TargetMode="External"/><Relationship Id="rId10" Type="http://schemas.openxmlformats.org/officeDocument/2006/relationships/hyperlink" Target="https://orcid.org/0000-0003-2815-3108%20ID57215990021" TargetMode="External"/><Relationship Id="rId19" Type="http://schemas.openxmlformats.org/officeDocument/2006/relationships/hyperlink" Target="https://doi.org/10.15360/1813-9779-2019-4-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ysin2013@yandex.ru" TargetMode="External"/><Relationship Id="rId14" Type="http://schemas.openxmlformats.org/officeDocument/2006/relationships/image" Target="media/image1.png"/><Relationship Id="rId22" Type="http://schemas.openxmlformats.org/officeDocument/2006/relationships/hyperlink" Target="https://doi:10.1080/15563650.2018.1519194" TargetMode="External"/><Relationship Id="rId27" Type="http://schemas.openxmlformats.org/officeDocument/2006/relationships/hyperlink" Target="https://orcid.org/0000-0003-4954-897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D6FEA-A460-44D5-B386-F5A7303D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5532</Words>
  <Characters>31538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2021-09-23T11:21:00Z</cp:lastPrinted>
  <dcterms:created xsi:type="dcterms:W3CDTF">2022-03-17T09:29:00Z</dcterms:created>
  <dcterms:modified xsi:type="dcterms:W3CDTF">2022-03-18T13:37:00Z</dcterms:modified>
</cp:coreProperties>
</file>